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88" w:rsidRDefault="00422F2D">
      <w:pPr>
        <w:spacing w:line="360" w:lineRule="auto"/>
        <w:jc w:val="center"/>
        <w:rPr>
          <w:rFonts w:ascii="宋体" w:hAnsi="宋体" w:cs="宋体"/>
          <w:b/>
          <w:kern w:val="0"/>
          <w:sz w:val="36"/>
          <w:szCs w:val="36"/>
        </w:rPr>
      </w:pPr>
      <w:r>
        <w:rPr>
          <w:rFonts w:ascii="宋体" w:hAnsi="宋体" w:cs="宋体" w:hint="eastAsia"/>
          <w:b/>
          <w:kern w:val="0"/>
          <w:sz w:val="36"/>
          <w:szCs w:val="36"/>
        </w:rPr>
        <w:t>《光伏产品运输服务规范》团体标准（征求意见稿）</w:t>
      </w:r>
    </w:p>
    <w:p w:rsidR="006B5288" w:rsidRDefault="00422F2D">
      <w:pPr>
        <w:spacing w:line="360" w:lineRule="auto"/>
        <w:jc w:val="center"/>
        <w:rPr>
          <w:rFonts w:ascii="宋体" w:hAnsi="宋体" w:cs="宋体"/>
          <w:b/>
          <w:kern w:val="0"/>
          <w:sz w:val="36"/>
          <w:szCs w:val="36"/>
        </w:rPr>
      </w:pPr>
      <w:r>
        <w:rPr>
          <w:rFonts w:ascii="宋体" w:hAnsi="宋体" w:cs="宋体" w:hint="eastAsia"/>
          <w:b/>
          <w:kern w:val="0"/>
          <w:sz w:val="36"/>
          <w:szCs w:val="36"/>
        </w:rPr>
        <w:t>编制说明</w:t>
      </w:r>
    </w:p>
    <w:p w:rsidR="006B5288" w:rsidRDefault="00422F2D">
      <w:pPr>
        <w:spacing w:line="360" w:lineRule="auto"/>
        <w:ind w:firstLineChars="200" w:firstLine="560"/>
        <w:jc w:val="left"/>
        <w:rPr>
          <w:rFonts w:ascii="仿宋" w:eastAsia="仿宋" w:hAnsi="仿宋" w:cs="仿宋"/>
          <w:b/>
          <w:bCs/>
          <w:kern w:val="0"/>
          <w:sz w:val="24"/>
          <w:szCs w:val="24"/>
        </w:rPr>
      </w:pPr>
      <w:r>
        <w:rPr>
          <w:rFonts w:ascii="黑体" w:eastAsia="黑体" w:hAnsi="黑体" w:cs="黑体" w:hint="eastAsia"/>
          <w:color w:val="000000" w:themeColor="text1"/>
          <w:sz w:val="28"/>
          <w:szCs w:val="28"/>
        </w:rPr>
        <w:t>一、项目来源</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《光伏产品运输服务规范》团体标准项目列入中国物流与采购联合会《</w:t>
      </w:r>
      <w:r>
        <w:rPr>
          <w:rFonts w:ascii="宋体" w:hAnsi="宋体" w:cs="宋体" w:hint="eastAsia"/>
          <w:color w:val="000000" w:themeColor="text1"/>
          <w:sz w:val="28"/>
          <w:szCs w:val="28"/>
        </w:rPr>
        <w:t>2022</w:t>
      </w:r>
      <w:r>
        <w:rPr>
          <w:rFonts w:ascii="宋体" w:hAnsi="宋体" w:cs="宋体" w:hint="eastAsia"/>
          <w:color w:val="000000" w:themeColor="text1"/>
          <w:sz w:val="28"/>
          <w:szCs w:val="28"/>
        </w:rPr>
        <w:t>年第二季度中国物流与采购联合会团体标准项目计划》（</w:t>
      </w:r>
      <w:proofErr w:type="gramStart"/>
      <w:r>
        <w:rPr>
          <w:rFonts w:ascii="宋体" w:hAnsi="宋体" w:cs="宋体" w:hint="eastAsia"/>
          <w:color w:val="000000" w:themeColor="text1"/>
          <w:sz w:val="28"/>
          <w:szCs w:val="28"/>
        </w:rPr>
        <w:t>物联标</w:t>
      </w:r>
      <w:proofErr w:type="gramEnd"/>
      <w:r>
        <w:rPr>
          <w:rFonts w:ascii="宋体" w:hAnsi="宋体" w:cs="宋体" w:hint="eastAsia"/>
          <w:color w:val="000000" w:themeColor="text1"/>
          <w:sz w:val="28"/>
          <w:szCs w:val="28"/>
        </w:rPr>
        <w:t>字〔</w:t>
      </w:r>
      <w:r>
        <w:rPr>
          <w:rFonts w:ascii="宋体" w:hAnsi="宋体" w:cs="宋体" w:hint="eastAsia"/>
          <w:color w:val="000000" w:themeColor="text1"/>
          <w:sz w:val="28"/>
          <w:szCs w:val="28"/>
        </w:rPr>
        <w:t>2022</w:t>
      </w:r>
      <w:r>
        <w:rPr>
          <w:rFonts w:ascii="宋体" w:hAnsi="宋体" w:cs="宋体" w:hint="eastAsia"/>
          <w:color w:val="000000" w:themeColor="text1"/>
          <w:sz w:val="28"/>
          <w:szCs w:val="28"/>
        </w:rPr>
        <w:t>〕</w:t>
      </w:r>
      <w:r>
        <w:rPr>
          <w:rFonts w:ascii="宋体" w:hAnsi="宋体" w:cs="宋体" w:hint="eastAsia"/>
          <w:color w:val="000000" w:themeColor="text1"/>
          <w:sz w:val="28"/>
          <w:szCs w:val="28"/>
        </w:rPr>
        <w:t>39</w:t>
      </w:r>
      <w:r>
        <w:rPr>
          <w:rFonts w:ascii="宋体" w:hAnsi="宋体" w:cs="宋体" w:hint="eastAsia"/>
          <w:color w:val="000000" w:themeColor="text1"/>
          <w:sz w:val="28"/>
          <w:szCs w:val="28"/>
        </w:rPr>
        <w:t>号）文件，项目编号为</w:t>
      </w:r>
      <w:hyperlink r:id="rId7" w:history="1">
        <w:r>
          <w:rPr>
            <w:rFonts w:ascii="宋体" w:hAnsi="宋体" w:cs="宋体" w:hint="eastAsia"/>
            <w:color w:val="000000" w:themeColor="text1"/>
            <w:sz w:val="28"/>
            <w:szCs w:val="28"/>
          </w:rPr>
          <w:t>2022-TB-00</w:t>
        </w:r>
      </w:hyperlink>
      <w:r>
        <w:rPr>
          <w:rFonts w:ascii="宋体" w:hAnsi="宋体" w:cs="宋体" w:hint="eastAsia"/>
          <w:color w:val="000000" w:themeColor="text1"/>
          <w:sz w:val="28"/>
          <w:szCs w:val="28"/>
        </w:rPr>
        <w:t>3</w:t>
      </w:r>
      <w:r>
        <w:rPr>
          <w:rFonts w:ascii="宋体" w:hAnsi="宋体" w:cs="宋体" w:hint="eastAsia"/>
          <w:color w:val="000000" w:themeColor="text1"/>
          <w:sz w:val="28"/>
          <w:szCs w:val="28"/>
        </w:rPr>
        <w:t>。本标准按照</w:t>
      </w:r>
      <w:r>
        <w:rPr>
          <w:rFonts w:ascii="宋体" w:hAnsi="宋体" w:cs="宋体" w:hint="eastAsia"/>
          <w:color w:val="000000" w:themeColor="text1"/>
          <w:sz w:val="28"/>
          <w:szCs w:val="28"/>
        </w:rPr>
        <w:t xml:space="preserve">GB/T </w:t>
      </w:r>
      <w:r>
        <w:rPr>
          <w:rFonts w:ascii="宋体" w:hAnsi="宋体" w:cs="宋体" w:hint="eastAsia"/>
          <w:color w:val="000000" w:themeColor="text1"/>
          <w:sz w:val="28"/>
          <w:szCs w:val="28"/>
        </w:rPr>
        <w:t>1.1</w:t>
      </w:r>
      <w:r>
        <w:rPr>
          <w:rFonts w:ascii="宋体" w:hAnsi="宋体" w:cs="宋体" w:hint="eastAsia"/>
          <w:color w:val="000000" w:themeColor="text1"/>
          <w:sz w:val="28"/>
          <w:szCs w:val="28"/>
        </w:rPr>
        <w:t>—</w:t>
      </w:r>
      <w:r>
        <w:rPr>
          <w:rFonts w:ascii="宋体" w:hAnsi="宋体" w:cs="宋体" w:hint="eastAsia"/>
          <w:color w:val="000000" w:themeColor="text1"/>
          <w:sz w:val="28"/>
          <w:szCs w:val="28"/>
        </w:rPr>
        <w:t>2020</w:t>
      </w:r>
      <w:r>
        <w:rPr>
          <w:rFonts w:ascii="宋体" w:hAnsi="宋体" w:cs="宋体" w:hint="eastAsia"/>
          <w:color w:val="000000" w:themeColor="text1"/>
          <w:sz w:val="28"/>
          <w:szCs w:val="28"/>
        </w:rPr>
        <w:t>给出的规则，并由日日</w:t>
      </w:r>
      <w:proofErr w:type="gramStart"/>
      <w:r>
        <w:rPr>
          <w:rFonts w:ascii="宋体" w:hAnsi="宋体" w:cs="宋体" w:hint="eastAsia"/>
          <w:color w:val="000000" w:themeColor="text1"/>
          <w:sz w:val="28"/>
          <w:szCs w:val="28"/>
        </w:rPr>
        <w:t>顺供应链科技</w:t>
      </w:r>
      <w:proofErr w:type="gramEnd"/>
      <w:r>
        <w:rPr>
          <w:rFonts w:ascii="宋体" w:hAnsi="宋体" w:cs="宋体" w:hint="eastAsia"/>
          <w:color w:val="000000" w:themeColor="text1"/>
          <w:sz w:val="28"/>
          <w:szCs w:val="28"/>
        </w:rPr>
        <w:t>股份有限公司、隆</w:t>
      </w:r>
      <w:proofErr w:type="gramStart"/>
      <w:r>
        <w:rPr>
          <w:rFonts w:ascii="宋体" w:hAnsi="宋体" w:cs="宋体" w:hint="eastAsia"/>
          <w:color w:val="000000" w:themeColor="text1"/>
          <w:sz w:val="28"/>
          <w:szCs w:val="28"/>
        </w:rPr>
        <w:t>基绿能科技</w:t>
      </w:r>
      <w:proofErr w:type="gramEnd"/>
      <w:r>
        <w:rPr>
          <w:rFonts w:ascii="宋体" w:hAnsi="宋体" w:cs="宋体" w:hint="eastAsia"/>
          <w:color w:val="000000" w:themeColor="text1"/>
          <w:sz w:val="28"/>
          <w:szCs w:val="28"/>
        </w:rPr>
        <w:t>股份有限公司、深圳顺丰泰森控股（集团）有限公司等单位共同起草。</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二、标准编写的目的、意义</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在全球化石能源越来越接近枯竭的严峻能源形势和污染日趋严重、气候日益变暖的生态环境压力下，美国、日本、德国、西班牙、意大利等国相继出台扶持政策，鼓励和支持太阳能发电，开展太阳能光</w:t>
      </w:r>
      <w:proofErr w:type="gramStart"/>
      <w:r>
        <w:rPr>
          <w:rFonts w:ascii="宋体" w:hAnsi="宋体" w:cs="宋体" w:hint="eastAsia"/>
          <w:color w:val="000000" w:themeColor="text1"/>
          <w:sz w:val="28"/>
          <w:szCs w:val="28"/>
        </w:rPr>
        <w:t>伏产业</w:t>
      </w:r>
      <w:proofErr w:type="gramEnd"/>
      <w:r>
        <w:rPr>
          <w:rFonts w:ascii="宋体" w:hAnsi="宋体" w:cs="宋体" w:hint="eastAsia"/>
          <w:color w:val="000000" w:themeColor="text1"/>
          <w:sz w:val="28"/>
          <w:szCs w:val="28"/>
        </w:rPr>
        <w:t>已成为所有新能源产业中最为“低碳经济”的直接表达。我国光</w:t>
      </w:r>
      <w:proofErr w:type="gramStart"/>
      <w:r>
        <w:rPr>
          <w:rFonts w:ascii="宋体" w:hAnsi="宋体" w:cs="宋体" w:hint="eastAsia"/>
          <w:color w:val="000000" w:themeColor="text1"/>
          <w:sz w:val="28"/>
          <w:szCs w:val="28"/>
        </w:rPr>
        <w:t>伏产业</w:t>
      </w:r>
      <w:proofErr w:type="gramEnd"/>
      <w:r>
        <w:rPr>
          <w:rFonts w:ascii="宋体" w:hAnsi="宋体" w:cs="宋体" w:hint="eastAsia"/>
          <w:color w:val="000000" w:themeColor="text1"/>
          <w:sz w:val="28"/>
          <w:szCs w:val="28"/>
        </w:rPr>
        <w:t>在近几年来也经历了缓慢</w:t>
      </w:r>
      <w:r>
        <w:rPr>
          <w:rFonts w:ascii="宋体" w:hAnsi="宋体" w:cs="宋体" w:hint="eastAsia"/>
          <w:color w:val="000000" w:themeColor="text1"/>
          <w:sz w:val="28"/>
          <w:szCs w:val="28"/>
        </w:rPr>
        <w:t>-</w:t>
      </w:r>
      <w:r>
        <w:rPr>
          <w:rFonts w:ascii="宋体" w:hAnsi="宋体" w:cs="宋体" w:hint="eastAsia"/>
          <w:color w:val="000000" w:themeColor="text1"/>
          <w:sz w:val="28"/>
          <w:szCs w:val="28"/>
        </w:rPr>
        <w:t>快速</w:t>
      </w:r>
      <w:r>
        <w:rPr>
          <w:rFonts w:ascii="宋体" w:hAnsi="宋体" w:cs="宋体" w:hint="eastAsia"/>
          <w:color w:val="000000" w:themeColor="text1"/>
          <w:sz w:val="28"/>
          <w:szCs w:val="28"/>
        </w:rPr>
        <w:t>-</w:t>
      </w:r>
      <w:r>
        <w:rPr>
          <w:rFonts w:ascii="宋体" w:hAnsi="宋体" w:cs="宋体" w:hint="eastAsia"/>
          <w:color w:val="000000" w:themeColor="text1"/>
          <w:sz w:val="28"/>
          <w:szCs w:val="28"/>
        </w:rPr>
        <w:t>爆炸式的开展过程，产业规模不断扩大。作为产业链条中举足轻重的物流环节，由于</w:t>
      </w:r>
      <w:r>
        <w:rPr>
          <w:rFonts w:ascii="宋体" w:hAnsi="宋体" w:cs="宋体" w:hint="eastAsia"/>
          <w:color w:val="000000" w:themeColor="text1"/>
          <w:sz w:val="28"/>
          <w:szCs w:val="28"/>
        </w:rPr>
        <w:t>项目交付地的偏僻位置等因素往往需要进行路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w:t>
      </w:r>
      <w:proofErr w:type="gramStart"/>
      <w:r>
        <w:rPr>
          <w:rFonts w:ascii="宋体" w:hAnsi="宋体" w:cs="宋体" w:hint="eastAsia"/>
          <w:color w:val="000000" w:themeColor="text1"/>
          <w:sz w:val="28"/>
          <w:szCs w:val="28"/>
        </w:rPr>
        <w:t>倒短等</w:t>
      </w:r>
      <w:proofErr w:type="gramEnd"/>
      <w:r>
        <w:rPr>
          <w:rFonts w:ascii="宋体" w:hAnsi="宋体" w:cs="宋体" w:hint="eastAsia"/>
          <w:color w:val="000000" w:themeColor="text1"/>
          <w:sz w:val="28"/>
          <w:szCs w:val="28"/>
        </w:rPr>
        <w:t>服务流程，同时不同光伏产品对运输车型、加固方法等具有针对性要求，整体具有较强的操作复杂性，且行业内还未形成配套的规范标准，因而一直存在着流程不明确、用车不规范、易货损等痛点，这也在一定程度上制约了光</w:t>
      </w:r>
      <w:proofErr w:type="gramStart"/>
      <w:r>
        <w:rPr>
          <w:rFonts w:ascii="宋体" w:hAnsi="宋体" w:cs="宋体" w:hint="eastAsia"/>
          <w:color w:val="000000" w:themeColor="text1"/>
          <w:sz w:val="28"/>
          <w:szCs w:val="28"/>
        </w:rPr>
        <w:t>伏产业</w:t>
      </w:r>
      <w:proofErr w:type="gramEnd"/>
      <w:r>
        <w:rPr>
          <w:rFonts w:ascii="宋体" w:hAnsi="宋体" w:cs="宋体" w:hint="eastAsia"/>
          <w:color w:val="000000" w:themeColor="text1"/>
          <w:sz w:val="28"/>
          <w:szCs w:val="28"/>
        </w:rPr>
        <w:t>的快速发展。本标准将通过规范服务保障，路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、提货车型、装车加固、</w:t>
      </w:r>
      <w:proofErr w:type="gramStart"/>
      <w:r>
        <w:rPr>
          <w:rFonts w:ascii="宋体" w:hAnsi="宋体" w:cs="宋体" w:hint="eastAsia"/>
          <w:color w:val="000000" w:themeColor="text1"/>
          <w:sz w:val="28"/>
          <w:szCs w:val="28"/>
        </w:rPr>
        <w:t>倒短等</w:t>
      </w:r>
      <w:proofErr w:type="gramEnd"/>
      <w:r>
        <w:rPr>
          <w:rFonts w:ascii="宋体" w:hAnsi="宋体" w:cs="宋体" w:hint="eastAsia"/>
          <w:color w:val="000000" w:themeColor="text1"/>
          <w:sz w:val="28"/>
          <w:szCs w:val="28"/>
        </w:rPr>
        <w:t>服务要求，以及服务评价与改进，解决企业光伏产</w:t>
      </w:r>
      <w:r>
        <w:rPr>
          <w:rFonts w:ascii="宋体" w:hAnsi="宋体" w:cs="宋体" w:hint="eastAsia"/>
          <w:color w:val="000000" w:themeColor="text1"/>
          <w:sz w:val="28"/>
          <w:szCs w:val="28"/>
        </w:rPr>
        <w:lastRenderedPageBreak/>
        <w:t>品运输服务不规范造成的高成本、低效率等问题，提升服务水平，从而促进太阳能大规模应用。</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2021</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10</w:t>
      </w:r>
      <w:r>
        <w:rPr>
          <w:rFonts w:ascii="宋体" w:hAnsi="宋体" w:cs="宋体" w:hint="eastAsia"/>
          <w:color w:val="000000" w:themeColor="text1"/>
          <w:sz w:val="28"/>
          <w:szCs w:val="28"/>
        </w:rPr>
        <w:t>月，《中共中央国务院关于完整准确全面贯彻新发</w:t>
      </w:r>
      <w:r>
        <w:rPr>
          <w:rFonts w:ascii="宋体" w:hAnsi="宋体" w:cs="宋体" w:hint="eastAsia"/>
          <w:color w:val="000000" w:themeColor="text1"/>
          <w:sz w:val="28"/>
          <w:szCs w:val="28"/>
        </w:rPr>
        <w:t>展理念做好碳达峰碳中和工作的意见》和《</w:t>
      </w:r>
      <w:r>
        <w:rPr>
          <w:rFonts w:ascii="宋体" w:hAnsi="宋体" w:cs="宋体" w:hint="eastAsia"/>
          <w:color w:val="000000" w:themeColor="text1"/>
          <w:sz w:val="28"/>
          <w:szCs w:val="28"/>
        </w:rPr>
        <w:t>2030</w:t>
      </w:r>
      <w:r>
        <w:rPr>
          <w:rFonts w:ascii="宋体" w:hAnsi="宋体" w:cs="宋体" w:hint="eastAsia"/>
          <w:color w:val="000000" w:themeColor="text1"/>
          <w:sz w:val="28"/>
          <w:szCs w:val="28"/>
        </w:rPr>
        <w:t>年前碳达峰行动方案》两大双</w:t>
      </w:r>
      <w:proofErr w:type="gramStart"/>
      <w:r>
        <w:rPr>
          <w:rFonts w:ascii="宋体" w:hAnsi="宋体" w:cs="宋体" w:hint="eastAsia"/>
          <w:color w:val="000000" w:themeColor="text1"/>
          <w:sz w:val="28"/>
          <w:szCs w:val="28"/>
        </w:rPr>
        <w:t>碳政策</w:t>
      </w:r>
      <w:proofErr w:type="gramEnd"/>
      <w:r>
        <w:rPr>
          <w:rFonts w:ascii="宋体" w:hAnsi="宋体" w:cs="宋体" w:hint="eastAsia"/>
          <w:color w:val="000000" w:themeColor="text1"/>
          <w:sz w:val="28"/>
          <w:szCs w:val="28"/>
        </w:rPr>
        <w:t>先后发布，强调可再生能源的消费比重提高，以能源绿色低碳发展为关键，实现经济社会发展绿色转型引领。本标准的研制也将在一定程度上推动</w:t>
      </w:r>
      <w:proofErr w:type="gramStart"/>
      <w:r>
        <w:rPr>
          <w:rFonts w:ascii="宋体" w:hAnsi="宋体" w:cs="宋体" w:hint="eastAsia"/>
          <w:color w:val="000000" w:themeColor="text1"/>
          <w:sz w:val="28"/>
          <w:szCs w:val="28"/>
        </w:rPr>
        <w:t>双碳政策</w:t>
      </w:r>
      <w:proofErr w:type="gramEnd"/>
      <w:r>
        <w:rPr>
          <w:rFonts w:ascii="宋体" w:hAnsi="宋体" w:cs="宋体" w:hint="eastAsia"/>
          <w:color w:val="000000" w:themeColor="text1"/>
          <w:sz w:val="28"/>
          <w:szCs w:val="28"/>
        </w:rPr>
        <w:t>落地，通过提升光伏产品运输服务水平助力</w:t>
      </w:r>
      <w:proofErr w:type="gramStart"/>
      <w:r>
        <w:rPr>
          <w:rFonts w:ascii="宋体" w:hAnsi="宋体" w:cs="宋体" w:hint="eastAsia"/>
          <w:color w:val="000000" w:themeColor="text1"/>
          <w:sz w:val="28"/>
          <w:szCs w:val="28"/>
        </w:rPr>
        <w:t>碳达峰碳</w:t>
      </w:r>
      <w:proofErr w:type="gramEnd"/>
      <w:r>
        <w:rPr>
          <w:rFonts w:ascii="宋体" w:hAnsi="宋体" w:cs="宋体" w:hint="eastAsia"/>
          <w:color w:val="000000" w:themeColor="text1"/>
          <w:sz w:val="28"/>
          <w:szCs w:val="28"/>
        </w:rPr>
        <w:t>中和的如期完成。</w:t>
      </w:r>
    </w:p>
    <w:p w:rsidR="006B5288" w:rsidRDefault="00422F2D">
      <w:pPr>
        <w:pStyle w:val="af5"/>
        <w:numPr>
          <w:ilvl w:val="255"/>
          <w:numId w:val="0"/>
        </w:numPr>
        <w:spacing w:line="360" w:lineRule="auto"/>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三、主要工作过程</w:t>
      </w:r>
    </w:p>
    <w:p w:rsidR="006B5288" w:rsidRDefault="00422F2D">
      <w:pPr>
        <w:numPr>
          <w:ilvl w:val="255"/>
          <w:numId w:val="0"/>
        </w:num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（一）预研阶段</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w:t>
      </w:r>
      <w:r>
        <w:rPr>
          <w:rFonts w:ascii="宋体" w:hAnsi="宋体" w:cs="宋体" w:hint="eastAsia"/>
          <w:color w:val="000000" w:themeColor="text1"/>
          <w:sz w:val="28"/>
          <w:szCs w:val="28"/>
        </w:rPr>
        <w:t>月，日日</w:t>
      </w:r>
      <w:proofErr w:type="gramStart"/>
      <w:r>
        <w:rPr>
          <w:rFonts w:ascii="宋体" w:hAnsi="宋体" w:cs="宋体" w:hint="eastAsia"/>
          <w:color w:val="000000" w:themeColor="text1"/>
          <w:sz w:val="28"/>
          <w:szCs w:val="28"/>
        </w:rPr>
        <w:t>顺供应链邀请隆基绿能</w:t>
      </w:r>
      <w:proofErr w:type="gramEnd"/>
      <w:r>
        <w:rPr>
          <w:rFonts w:ascii="宋体" w:hAnsi="宋体" w:cs="宋体" w:hint="eastAsia"/>
          <w:color w:val="000000" w:themeColor="text1"/>
          <w:sz w:val="28"/>
          <w:szCs w:val="28"/>
        </w:rPr>
        <w:t>、顺丰、智运天下等企业共同参与标准预研工作，期间多次召开内部研讨会，对标准制定的目的意义、标准框架进行讨论，并形成了标准草案，为标准制定奠定基础。</w:t>
      </w:r>
    </w:p>
    <w:p w:rsidR="006B5288" w:rsidRDefault="00422F2D">
      <w:pPr>
        <w:numPr>
          <w:ilvl w:val="255"/>
          <w:numId w:val="0"/>
        </w:num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（二）立项阶段</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4</w:t>
      </w:r>
      <w:r>
        <w:rPr>
          <w:rFonts w:ascii="宋体" w:hAnsi="宋体" w:cs="宋体" w:hint="eastAsia"/>
          <w:color w:val="000000" w:themeColor="text1"/>
          <w:sz w:val="28"/>
          <w:szCs w:val="28"/>
        </w:rPr>
        <w:t>月</w:t>
      </w:r>
      <w:r>
        <w:rPr>
          <w:rFonts w:ascii="宋体" w:hAnsi="宋体" w:cs="宋体" w:hint="eastAsia"/>
          <w:color w:val="000000" w:themeColor="text1"/>
          <w:sz w:val="28"/>
          <w:szCs w:val="28"/>
        </w:rPr>
        <w:t>7</w:t>
      </w:r>
      <w:r>
        <w:rPr>
          <w:rFonts w:ascii="宋体" w:hAnsi="宋体" w:cs="宋体" w:hint="eastAsia"/>
          <w:color w:val="000000" w:themeColor="text1"/>
          <w:sz w:val="28"/>
          <w:szCs w:val="28"/>
        </w:rPr>
        <w:t>日，中国物流与采购联合会团体标准化技术委员会组织召开标准专家立项会，日日</w:t>
      </w:r>
      <w:proofErr w:type="gramStart"/>
      <w:r>
        <w:rPr>
          <w:rFonts w:ascii="宋体" w:hAnsi="宋体" w:cs="宋体" w:hint="eastAsia"/>
          <w:color w:val="000000" w:themeColor="text1"/>
          <w:sz w:val="28"/>
          <w:szCs w:val="28"/>
        </w:rPr>
        <w:t>顺供应链参加</w:t>
      </w:r>
      <w:proofErr w:type="gramEnd"/>
      <w:r>
        <w:rPr>
          <w:rFonts w:ascii="宋体" w:hAnsi="宋体" w:cs="宋体" w:hint="eastAsia"/>
          <w:color w:val="000000" w:themeColor="text1"/>
          <w:sz w:val="28"/>
          <w:szCs w:val="28"/>
        </w:rPr>
        <w:t>了此次会议，并在会议上进行立项介绍与答辩。</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4</w:t>
      </w:r>
      <w:r>
        <w:rPr>
          <w:rFonts w:ascii="宋体" w:hAnsi="宋体" w:cs="宋体" w:hint="eastAsia"/>
          <w:color w:val="000000" w:themeColor="text1"/>
          <w:sz w:val="28"/>
          <w:szCs w:val="28"/>
        </w:rPr>
        <w:t>月</w:t>
      </w:r>
      <w:r>
        <w:rPr>
          <w:rFonts w:ascii="宋体" w:hAnsi="宋体" w:cs="宋体" w:hint="eastAsia"/>
          <w:color w:val="000000" w:themeColor="text1"/>
          <w:sz w:val="28"/>
          <w:szCs w:val="28"/>
        </w:rPr>
        <w:t>11</w:t>
      </w:r>
      <w:r>
        <w:rPr>
          <w:rFonts w:ascii="宋体" w:hAnsi="宋体" w:cs="宋体" w:hint="eastAsia"/>
          <w:color w:val="000000" w:themeColor="text1"/>
          <w:sz w:val="28"/>
          <w:szCs w:val="28"/>
        </w:rPr>
        <w:t>日，中国物流与采购联合会下达《</w:t>
      </w:r>
      <w:r>
        <w:rPr>
          <w:rFonts w:ascii="宋体" w:hAnsi="宋体" w:cs="宋体" w:hint="eastAsia"/>
          <w:color w:val="000000" w:themeColor="text1"/>
          <w:sz w:val="28"/>
          <w:szCs w:val="28"/>
        </w:rPr>
        <w:t>2022</w:t>
      </w:r>
      <w:r>
        <w:rPr>
          <w:rFonts w:ascii="宋体" w:hAnsi="宋体" w:cs="宋体" w:hint="eastAsia"/>
          <w:color w:val="000000" w:themeColor="text1"/>
          <w:sz w:val="28"/>
          <w:szCs w:val="28"/>
        </w:rPr>
        <w:t>年第二季度中国物流与采购联合会团体标准项目计划》（</w:t>
      </w:r>
      <w:proofErr w:type="gramStart"/>
      <w:r>
        <w:rPr>
          <w:rFonts w:ascii="宋体" w:hAnsi="宋体" w:cs="宋体" w:hint="eastAsia"/>
          <w:color w:val="000000" w:themeColor="text1"/>
          <w:sz w:val="28"/>
          <w:szCs w:val="28"/>
        </w:rPr>
        <w:t>物联标</w:t>
      </w:r>
      <w:proofErr w:type="gramEnd"/>
      <w:r>
        <w:rPr>
          <w:rFonts w:ascii="宋体" w:hAnsi="宋体" w:cs="宋体" w:hint="eastAsia"/>
          <w:color w:val="000000" w:themeColor="text1"/>
          <w:sz w:val="28"/>
          <w:szCs w:val="28"/>
        </w:rPr>
        <w:t>字〔</w:t>
      </w:r>
      <w:r>
        <w:rPr>
          <w:rFonts w:ascii="宋体" w:hAnsi="宋体" w:cs="宋体" w:hint="eastAsia"/>
          <w:color w:val="000000" w:themeColor="text1"/>
          <w:sz w:val="28"/>
          <w:szCs w:val="28"/>
        </w:rPr>
        <w:t>2022</w:t>
      </w:r>
      <w:r>
        <w:rPr>
          <w:rFonts w:ascii="宋体" w:hAnsi="宋体" w:cs="宋体" w:hint="eastAsia"/>
          <w:color w:val="000000" w:themeColor="text1"/>
          <w:sz w:val="28"/>
          <w:szCs w:val="28"/>
        </w:rPr>
        <w:t>〕</w:t>
      </w:r>
      <w:r>
        <w:rPr>
          <w:rFonts w:ascii="宋体" w:hAnsi="宋体" w:cs="宋体" w:hint="eastAsia"/>
          <w:color w:val="000000" w:themeColor="text1"/>
          <w:sz w:val="28"/>
          <w:szCs w:val="28"/>
        </w:rPr>
        <w:t>39</w:t>
      </w:r>
      <w:r>
        <w:rPr>
          <w:rFonts w:ascii="宋体" w:hAnsi="宋体" w:cs="宋体" w:hint="eastAsia"/>
          <w:color w:val="000000" w:themeColor="text1"/>
          <w:sz w:val="28"/>
          <w:szCs w:val="28"/>
        </w:rPr>
        <w:t>号）文件，《光伏产品运输服务规范》（项目编号：</w:t>
      </w:r>
      <w:r>
        <w:rPr>
          <w:rFonts w:ascii="宋体" w:hAnsi="宋体" w:cs="宋体" w:hint="eastAsia"/>
          <w:color w:val="000000" w:themeColor="text1"/>
          <w:sz w:val="28"/>
          <w:szCs w:val="28"/>
        </w:rPr>
        <w:t>2022-TB-003</w:t>
      </w:r>
      <w:r>
        <w:rPr>
          <w:rFonts w:ascii="宋体" w:hAnsi="宋体" w:cs="宋体" w:hint="eastAsia"/>
          <w:color w:val="000000" w:themeColor="text1"/>
          <w:sz w:val="28"/>
          <w:szCs w:val="28"/>
        </w:rPr>
        <w:t>）团体标准立项成功。</w:t>
      </w:r>
    </w:p>
    <w:p w:rsidR="006B5288" w:rsidRDefault="00422F2D">
      <w:pPr>
        <w:numPr>
          <w:ilvl w:val="255"/>
          <w:numId w:val="0"/>
        </w:num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（三）起草阶段</w:t>
      </w:r>
    </w:p>
    <w:p w:rsidR="006B5288" w:rsidRDefault="00422F2D">
      <w:pPr>
        <w:numPr>
          <w:ilvl w:val="255"/>
          <w:numId w:val="0"/>
        </w:numPr>
        <w:spacing w:line="360" w:lineRule="auto"/>
        <w:rPr>
          <w:rFonts w:ascii="宋体" w:hAnsi="宋体" w:cs="宋体"/>
          <w:color w:val="000000" w:themeColor="text1"/>
          <w:sz w:val="28"/>
          <w:szCs w:val="28"/>
        </w:rPr>
      </w:pPr>
      <w:r>
        <w:rPr>
          <w:rFonts w:ascii="宋体" w:hAnsi="宋体" w:cs="宋体" w:hint="eastAsia"/>
          <w:color w:val="000000" w:themeColor="text1"/>
          <w:sz w:val="28"/>
          <w:szCs w:val="28"/>
        </w:rPr>
        <w:t xml:space="preserve">    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6</w:t>
      </w:r>
      <w:r>
        <w:rPr>
          <w:rFonts w:ascii="宋体" w:hAnsi="宋体" w:cs="宋体" w:hint="eastAsia"/>
          <w:color w:val="000000" w:themeColor="text1"/>
          <w:sz w:val="28"/>
          <w:szCs w:val="28"/>
        </w:rPr>
        <w:t>月</w:t>
      </w:r>
      <w:r>
        <w:rPr>
          <w:rFonts w:ascii="宋体" w:hAnsi="宋体" w:cs="宋体" w:hint="eastAsia"/>
          <w:color w:val="000000" w:themeColor="text1"/>
          <w:sz w:val="28"/>
          <w:szCs w:val="28"/>
        </w:rPr>
        <w:t>21</w:t>
      </w:r>
      <w:r>
        <w:rPr>
          <w:rFonts w:ascii="宋体" w:hAnsi="宋体" w:cs="宋体" w:hint="eastAsia"/>
          <w:color w:val="000000" w:themeColor="text1"/>
          <w:sz w:val="28"/>
          <w:szCs w:val="28"/>
        </w:rPr>
        <w:t>日，由日日</w:t>
      </w:r>
      <w:proofErr w:type="gramStart"/>
      <w:r>
        <w:rPr>
          <w:rFonts w:ascii="宋体" w:hAnsi="宋体" w:cs="宋体" w:hint="eastAsia"/>
          <w:color w:val="000000" w:themeColor="text1"/>
          <w:sz w:val="28"/>
          <w:szCs w:val="28"/>
        </w:rPr>
        <w:t>顺供应链组织</w:t>
      </w:r>
      <w:proofErr w:type="gramEnd"/>
      <w:r>
        <w:rPr>
          <w:rFonts w:ascii="宋体" w:hAnsi="宋体" w:cs="宋体" w:hint="eastAsia"/>
          <w:color w:val="000000" w:themeColor="text1"/>
          <w:sz w:val="28"/>
          <w:szCs w:val="28"/>
        </w:rPr>
        <w:t>召开了标准启动工作线上会议，本次会议确定了工作进度计划并制定了标准具</w:t>
      </w:r>
      <w:r>
        <w:rPr>
          <w:rFonts w:ascii="宋体" w:hAnsi="宋体" w:cs="宋体" w:hint="eastAsia"/>
          <w:color w:val="000000" w:themeColor="text1"/>
          <w:sz w:val="28"/>
          <w:szCs w:val="28"/>
        </w:rPr>
        <w:t>体的工作方案及任务分工（见表</w:t>
      </w:r>
      <w:r>
        <w:rPr>
          <w:rFonts w:ascii="宋体" w:hAnsi="宋体" w:cs="宋体" w:hint="eastAsia"/>
          <w:color w:val="000000" w:themeColor="text1"/>
          <w:sz w:val="28"/>
          <w:szCs w:val="28"/>
        </w:rPr>
        <w:t>1</w:t>
      </w:r>
      <w:r>
        <w:rPr>
          <w:rFonts w:ascii="宋体" w:hAnsi="宋体" w:cs="宋体" w:hint="eastAsia"/>
          <w:color w:val="000000" w:themeColor="text1"/>
          <w:sz w:val="28"/>
          <w:szCs w:val="28"/>
        </w:rPr>
        <w:t>），初步明确标准制定的框架。</w:t>
      </w:r>
    </w:p>
    <w:p w:rsidR="006B5288" w:rsidRDefault="00422F2D">
      <w:pPr>
        <w:widowControl/>
        <w:tabs>
          <w:tab w:val="left" w:pos="540"/>
        </w:tabs>
        <w:spacing w:line="360" w:lineRule="auto"/>
        <w:contextualSpacing/>
        <w:jc w:val="center"/>
        <w:rPr>
          <w:rFonts w:ascii="宋体" w:hAnsi="宋体" w:cs="宋体"/>
          <w:color w:val="000000" w:themeColor="text1"/>
          <w:sz w:val="28"/>
          <w:szCs w:val="28"/>
        </w:rPr>
      </w:pPr>
      <w:r>
        <w:rPr>
          <w:rFonts w:ascii="宋体" w:hAnsi="宋体" w:cs="宋体" w:hint="eastAsia"/>
          <w:color w:val="000000" w:themeColor="text1"/>
          <w:sz w:val="28"/>
          <w:szCs w:val="28"/>
        </w:rPr>
        <w:t>表</w:t>
      </w:r>
      <w:r>
        <w:rPr>
          <w:rFonts w:ascii="宋体" w:hAnsi="宋体" w:cs="宋体" w:hint="eastAsia"/>
          <w:color w:val="000000" w:themeColor="text1"/>
          <w:sz w:val="28"/>
          <w:szCs w:val="28"/>
        </w:rPr>
        <w:t xml:space="preserve">1 </w:t>
      </w:r>
      <w:r>
        <w:rPr>
          <w:rFonts w:ascii="宋体" w:hAnsi="宋体" w:cs="宋体" w:hint="eastAsia"/>
          <w:color w:val="000000" w:themeColor="text1"/>
          <w:sz w:val="28"/>
          <w:szCs w:val="28"/>
        </w:rPr>
        <w:t>标准制定任务分工</w:t>
      </w:r>
    </w:p>
    <w:tbl>
      <w:tblPr>
        <w:tblW w:w="8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ook w:val="04A0" w:firstRow="1" w:lastRow="0" w:firstColumn="1" w:lastColumn="0" w:noHBand="0" w:noVBand="1"/>
      </w:tblPr>
      <w:tblGrid>
        <w:gridCol w:w="740"/>
        <w:gridCol w:w="3958"/>
        <w:gridCol w:w="3875"/>
      </w:tblGrid>
      <w:tr w:rsidR="006B5288">
        <w:trPr>
          <w:trHeight w:val="302"/>
        </w:trPr>
        <w:tc>
          <w:tcPr>
            <w:tcW w:w="740" w:type="dxa"/>
            <w:shd w:val="clear" w:color="000000" w:fill="auto"/>
            <w:vAlign w:val="center"/>
          </w:tcPr>
          <w:p w:rsidR="006B5288" w:rsidRDefault="00422F2D">
            <w:pPr>
              <w:widowControl/>
              <w:tabs>
                <w:tab w:val="left" w:pos="540"/>
              </w:tabs>
              <w:contextualSpacing/>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序号</w:t>
            </w:r>
          </w:p>
        </w:tc>
        <w:tc>
          <w:tcPr>
            <w:tcW w:w="3958" w:type="dxa"/>
            <w:shd w:val="clear" w:color="000000" w:fill="auto"/>
            <w:vAlign w:val="center"/>
          </w:tcPr>
          <w:p w:rsidR="006B5288" w:rsidRDefault="00422F2D">
            <w:pPr>
              <w:widowControl/>
              <w:tabs>
                <w:tab w:val="left" w:pos="540"/>
              </w:tabs>
              <w:contextualSpacing/>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单位</w:t>
            </w:r>
          </w:p>
        </w:tc>
        <w:tc>
          <w:tcPr>
            <w:tcW w:w="3875" w:type="dxa"/>
            <w:shd w:val="clear" w:color="000000" w:fill="auto"/>
            <w:vAlign w:val="center"/>
          </w:tcPr>
          <w:p w:rsidR="006B5288" w:rsidRDefault="00422F2D">
            <w:pPr>
              <w:widowControl/>
              <w:tabs>
                <w:tab w:val="left" w:pos="540"/>
              </w:tabs>
              <w:contextualSpacing/>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分工</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日日</w:t>
            </w:r>
            <w:proofErr w:type="gramStart"/>
            <w:r>
              <w:rPr>
                <w:rFonts w:asciiTheme="minorEastAsia" w:eastAsiaTheme="minorEastAsia" w:hAnsiTheme="minorEastAsia" w:cs="仿宋" w:hint="eastAsia"/>
                <w:sz w:val="18"/>
                <w:szCs w:val="18"/>
              </w:rPr>
              <w:t>顺供应链科技</w:t>
            </w:r>
            <w:proofErr w:type="gramEnd"/>
            <w:r>
              <w:rPr>
                <w:rFonts w:asciiTheme="minorEastAsia" w:eastAsiaTheme="minorEastAsia" w:hAnsiTheme="minorEastAsia" w:cs="仿宋" w:hint="eastAsia"/>
                <w:sz w:val="18"/>
                <w:szCs w:val="18"/>
              </w:rPr>
              <w:t>股份有限公司</w:t>
            </w:r>
          </w:p>
        </w:tc>
        <w:tc>
          <w:tcPr>
            <w:tcW w:w="3875"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标准编写，负责标准内容的完善</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隆</w:t>
            </w:r>
            <w:proofErr w:type="gramStart"/>
            <w:r>
              <w:rPr>
                <w:rFonts w:asciiTheme="minorEastAsia" w:eastAsiaTheme="minorEastAsia" w:hAnsiTheme="minorEastAsia" w:cs="仿宋" w:hint="eastAsia"/>
                <w:sz w:val="18"/>
                <w:szCs w:val="18"/>
              </w:rPr>
              <w:t>基绿能科技</w:t>
            </w:r>
            <w:proofErr w:type="gramEnd"/>
            <w:r>
              <w:rPr>
                <w:rFonts w:asciiTheme="minorEastAsia" w:eastAsiaTheme="minorEastAsia" w:hAnsiTheme="minorEastAsia" w:cs="仿宋" w:hint="eastAsia"/>
                <w:sz w:val="18"/>
                <w:szCs w:val="18"/>
              </w:rPr>
              <w:t>股份有限公司</w:t>
            </w:r>
          </w:p>
        </w:tc>
        <w:tc>
          <w:tcPr>
            <w:tcW w:w="3875" w:type="dxa"/>
            <w:shd w:val="clear" w:color="000000" w:fill="auto"/>
            <w:vAlign w:val="center"/>
          </w:tcPr>
          <w:p w:rsidR="006B5288" w:rsidRDefault="00422F2D">
            <w:pPr>
              <w:widowControl/>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负责标准的质量把关，参与组织讨论，负责标准的汇总、初审，提出标准编写的建议</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中国邮政速递物流股份有限公司</w:t>
            </w:r>
          </w:p>
        </w:tc>
        <w:tc>
          <w:tcPr>
            <w:tcW w:w="3875"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hint="eastAsia"/>
                <w:color w:val="000000"/>
                <w:sz w:val="18"/>
                <w:szCs w:val="18"/>
              </w:rPr>
              <w:t>参与小组的研讨、提供企业相关的数据，参加论证，提出合理化建议</w:t>
            </w:r>
          </w:p>
        </w:tc>
      </w:tr>
      <w:tr w:rsidR="006B5288">
        <w:trPr>
          <w:trHeight w:val="302"/>
        </w:trPr>
        <w:tc>
          <w:tcPr>
            <w:tcW w:w="740" w:type="dxa"/>
            <w:shd w:val="clear" w:color="000000" w:fill="auto"/>
            <w:vAlign w:val="center"/>
          </w:tcPr>
          <w:p w:rsidR="006B5288" w:rsidRDefault="006B5288">
            <w:pPr>
              <w:widowControl/>
              <w:numPr>
                <w:ilvl w:val="0"/>
                <w:numId w:val="3"/>
              </w:numPr>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深圳顺丰泰森控股（集团）有限公司</w:t>
            </w:r>
          </w:p>
        </w:tc>
        <w:tc>
          <w:tcPr>
            <w:tcW w:w="3875" w:type="dxa"/>
            <w:shd w:val="clear" w:color="000000" w:fill="auto"/>
            <w:vAlign w:val="center"/>
          </w:tcPr>
          <w:p w:rsidR="006B5288" w:rsidRDefault="00422F2D">
            <w:pPr>
              <w:widowControl/>
              <w:jc w:val="left"/>
              <w:rPr>
                <w:rFonts w:asciiTheme="minorEastAsia" w:eastAsiaTheme="minorEastAsia" w:hAnsiTheme="minorEastAsia" w:cs="仿宋"/>
                <w:sz w:val="18"/>
                <w:szCs w:val="18"/>
              </w:rPr>
            </w:pPr>
            <w:r>
              <w:rPr>
                <w:rFonts w:asciiTheme="minorEastAsia" w:eastAsiaTheme="minorEastAsia" w:hAnsiTheme="minorEastAsia" w:hint="eastAsia"/>
                <w:color w:val="000000"/>
                <w:sz w:val="18"/>
                <w:szCs w:val="18"/>
              </w:rPr>
              <w:t>参与小组的研讨、提供企业相关的数据，参加论证，提出合理化建议</w:t>
            </w:r>
          </w:p>
        </w:tc>
      </w:tr>
      <w:tr w:rsidR="006B5288">
        <w:trPr>
          <w:trHeight w:val="302"/>
        </w:trPr>
        <w:tc>
          <w:tcPr>
            <w:tcW w:w="740" w:type="dxa"/>
            <w:shd w:val="clear" w:color="000000" w:fill="auto"/>
            <w:vAlign w:val="center"/>
          </w:tcPr>
          <w:p w:rsidR="006B5288" w:rsidRDefault="006B5288">
            <w:pPr>
              <w:widowControl/>
              <w:numPr>
                <w:ilvl w:val="0"/>
                <w:numId w:val="3"/>
              </w:numPr>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国网天津市电力公司物资公司</w:t>
            </w:r>
            <w:proofErr w:type="gramEnd"/>
          </w:p>
        </w:tc>
        <w:tc>
          <w:tcPr>
            <w:tcW w:w="3875" w:type="dxa"/>
            <w:shd w:val="clear" w:color="000000" w:fill="auto"/>
            <w:vAlign w:val="center"/>
          </w:tcPr>
          <w:p w:rsidR="006B5288" w:rsidRDefault="00422F2D">
            <w:pPr>
              <w:widowControl/>
              <w:jc w:val="left"/>
              <w:rPr>
                <w:rFonts w:asciiTheme="minorEastAsia" w:eastAsiaTheme="minorEastAsia" w:hAnsiTheme="minorEastAsia" w:cs="仿宋"/>
                <w:sz w:val="18"/>
                <w:szCs w:val="18"/>
              </w:rPr>
            </w:pPr>
            <w:r>
              <w:rPr>
                <w:rFonts w:asciiTheme="minorEastAsia" w:eastAsiaTheme="minorEastAsia" w:hAnsiTheme="minorEastAsia" w:hint="eastAsia"/>
                <w:color w:val="000000"/>
                <w:sz w:val="18"/>
                <w:szCs w:val="18"/>
              </w:rPr>
              <w:t>参与小组的研讨、提供企业相关的数据，参加论证，提出合理化建议</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智运天下</w:t>
            </w:r>
            <w:r>
              <w:rPr>
                <w:rFonts w:asciiTheme="minorEastAsia" w:eastAsiaTheme="minorEastAsia" w:hAnsiTheme="minorEastAsia" w:cs="仿宋" w:hint="eastAsia"/>
                <w:sz w:val="18"/>
                <w:szCs w:val="18"/>
              </w:rPr>
              <w:t>(</w:t>
            </w:r>
            <w:r>
              <w:rPr>
                <w:rFonts w:asciiTheme="minorEastAsia" w:eastAsiaTheme="minorEastAsia" w:hAnsiTheme="minorEastAsia" w:cs="仿宋" w:hint="eastAsia"/>
                <w:sz w:val="18"/>
                <w:szCs w:val="18"/>
              </w:rPr>
              <w:t>上海</w:t>
            </w:r>
            <w:r>
              <w:rPr>
                <w:rFonts w:asciiTheme="minorEastAsia" w:eastAsiaTheme="minorEastAsia" w:hAnsiTheme="minorEastAsia" w:cs="仿宋" w:hint="eastAsia"/>
                <w:sz w:val="18"/>
                <w:szCs w:val="18"/>
              </w:rPr>
              <w:t>)</w:t>
            </w:r>
            <w:r>
              <w:rPr>
                <w:rFonts w:asciiTheme="minorEastAsia" w:eastAsiaTheme="minorEastAsia" w:hAnsiTheme="minorEastAsia" w:cs="仿宋" w:hint="eastAsia"/>
                <w:sz w:val="18"/>
                <w:szCs w:val="18"/>
              </w:rPr>
              <w:t>科技有限公司</w:t>
            </w:r>
          </w:p>
        </w:tc>
        <w:tc>
          <w:tcPr>
            <w:tcW w:w="3875"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参与小组的研讨、参加标准的论证，提出合理化建议</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color w:val="000000"/>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color w:val="000000"/>
                <w:sz w:val="18"/>
                <w:szCs w:val="18"/>
              </w:rPr>
            </w:pPr>
            <w:r>
              <w:rPr>
                <w:rFonts w:asciiTheme="minorEastAsia" w:eastAsiaTheme="minorEastAsia" w:hAnsiTheme="minorEastAsia" w:cs="仿宋" w:hint="eastAsia"/>
                <w:color w:val="000000"/>
                <w:sz w:val="18"/>
                <w:szCs w:val="18"/>
              </w:rPr>
              <w:t>圆通速递股份有限公司</w:t>
            </w:r>
          </w:p>
        </w:tc>
        <w:tc>
          <w:tcPr>
            <w:tcW w:w="3875"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color w:val="000000"/>
                <w:sz w:val="18"/>
                <w:szCs w:val="18"/>
              </w:rPr>
            </w:pPr>
            <w:r>
              <w:rPr>
                <w:rFonts w:asciiTheme="minorEastAsia" w:eastAsiaTheme="minorEastAsia" w:hAnsiTheme="minorEastAsia" w:cs="仿宋" w:hint="eastAsia"/>
                <w:color w:val="000000"/>
                <w:sz w:val="18"/>
                <w:szCs w:val="18"/>
              </w:rPr>
              <w:t>参与小组的研讨、参加标准的论证，提出合理化建议</w:t>
            </w:r>
          </w:p>
        </w:tc>
      </w:tr>
      <w:tr w:rsidR="006B5288">
        <w:trPr>
          <w:trHeight w:val="302"/>
        </w:trPr>
        <w:tc>
          <w:tcPr>
            <w:tcW w:w="740" w:type="dxa"/>
            <w:shd w:val="clear" w:color="000000" w:fill="auto"/>
            <w:vAlign w:val="center"/>
          </w:tcPr>
          <w:p w:rsidR="006B5288" w:rsidRDefault="006B5288">
            <w:pPr>
              <w:widowControl/>
              <w:numPr>
                <w:ilvl w:val="0"/>
                <w:numId w:val="3"/>
              </w:numPr>
              <w:tabs>
                <w:tab w:val="left" w:pos="540"/>
              </w:tabs>
              <w:contextualSpacing/>
              <w:jc w:val="left"/>
              <w:rPr>
                <w:rFonts w:asciiTheme="minorEastAsia" w:eastAsiaTheme="minorEastAsia" w:hAnsiTheme="minorEastAsia" w:cs="仿宋"/>
                <w:color w:val="000000"/>
                <w:sz w:val="18"/>
                <w:szCs w:val="18"/>
              </w:rPr>
            </w:pPr>
          </w:p>
        </w:tc>
        <w:tc>
          <w:tcPr>
            <w:tcW w:w="3958"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color w:val="000000"/>
                <w:sz w:val="18"/>
                <w:szCs w:val="18"/>
              </w:rPr>
            </w:pPr>
            <w:r>
              <w:rPr>
                <w:rFonts w:asciiTheme="minorEastAsia" w:eastAsiaTheme="minorEastAsia" w:hAnsiTheme="minorEastAsia" w:cs="仿宋" w:hint="eastAsia"/>
                <w:color w:val="000000"/>
                <w:sz w:val="18"/>
                <w:szCs w:val="18"/>
              </w:rPr>
              <w:t>晶澳（扬州）新能源有限公司</w:t>
            </w:r>
          </w:p>
        </w:tc>
        <w:tc>
          <w:tcPr>
            <w:tcW w:w="3875" w:type="dxa"/>
            <w:shd w:val="clear" w:color="000000" w:fill="auto"/>
            <w:vAlign w:val="center"/>
          </w:tcPr>
          <w:p w:rsidR="006B5288" w:rsidRDefault="00422F2D">
            <w:pPr>
              <w:widowControl/>
              <w:tabs>
                <w:tab w:val="left" w:pos="540"/>
              </w:tabs>
              <w:contextualSpacing/>
              <w:jc w:val="left"/>
              <w:rPr>
                <w:rFonts w:asciiTheme="minorEastAsia" w:eastAsiaTheme="minorEastAsia" w:hAnsiTheme="minorEastAsia" w:cs="仿宋"/>
                <w:color w:val="000000"/>
                <w:sz w:val="18"/>
                <w:szCs w:val="18"/>
              </w:rPr>
            </w:pPr>
            <w:r>
              <w:rPr>
                <w:rFonts w:asciiTheme="minorEastAsia" w:eastAsiaTheme="minorEastAsia" w:hAnsiTheme="minorEastAsia" w:cs="仿宋" w:hint="eastAsia"/>
                <w:color w:val="000000"/>
                <w:sz w:val="18"/>
                <w:szCs w:val="18"/>
              </w:rPr>
              <w:t>参与小组的研讨、参加标准的论证，提出合理化建议</w:t>
            </w:r>
          </w:p>
        </w:tc>
      </w:tr>
    </w:tbl>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6-8</w:t>
      </w:r>
      <w:r>
        <w:rPr>
          <w:rFonts w:ascii="宋体" w:hAnsi="宋体" w:cs="宋体" w:hint="eastAsia"/>
          <w:color w:val="000000" w:themeColor="text1"/>
          <w:sz w:val="28"/>
          <w:szCs w:val="28"/>
        </w:rPr>
        <w:t>月，日日</w:t>
      </w:r>
      <w:proofErr w:type="gramStart"/>
      <w:r>
        <w:rPr>
          <w:rFonts w:ascii="宋体" w:hAnsi="宋体" w:cs="宋体" w:hint="eastAsia"/>
          <w:color w:val="000000" w:themeColor="text1"/>
          <w:sz w:val="28"/>
          <w:szCs w:val="28"/>
        </w:rPr>
        <w:t>顺供应链前往隆基绿能</w:t>
      </w:r>
      <w:proofErr w:type="gramEnd"/>
      <w:r>
        <w:rPr>
          <w:rFonts w:ascii="宋体" w:hAnsi="宋体" w:cs="宋体" w:hint="eastAsia"/>
          <w:color w:val="000000" w:themeColor="text1"/>
          <w:sz w:val="28"/>
          <w:szCs w:val="28"/>
        </w:rPr>
        <w:t>、晶澳、</w:t>
      </w:r>
      <w:proofErr w:type="gramStart"/>
      <w:r>
        <w:rPr>
          <w:rFonts w:ascii="宋体" w:hAnsi="宋体" w:cs="宋体" w:hint="eastAsia"/>
          <w:color w:val="000000" w:themeColor="text1"/>
          <w:sz w:val="28"/>
          <w:szCs w:val="28"/>
        </w:rPr>
        <w:t>国网天津</w:t>
      </w:r>
      <w:proofErr w:type="gramEnd"/>
      <w:r>
        <w:rPr>
          <w:rFonts w:ascii="宋体" w:hAnsi="宋体" w:cs="宋体" w:hint="eastAsia"/>
          <w:color w:val="000000" w:themeColor="text1"/>
          <w:sz w:val="28"/>
          <w:szCs w:val="28"/>
        </w:rPr>
        <w:t>电力、顺丰等多家光</w:t>
      </w:r>
      <w:proofErr w:type="gramStart"/>
      <w:r>
        <w:rPr>
          <w:rFonts w:ascii="宋体" w:hAnsi="宋体" w:cs="宋体" w:hint="eastAsia"/>
          <w:color w:val="000000" w:themeColor="text1"/>
          <w:sz w:val="28"/>
          <w:szCs w:val="28"/>
        </w:rPr>
        <w:t>伏产业</w:t>
      </w:r>
      <w:proofErr w:type="gramEnd"/>
      <w:r>
        <w:rPr>
          <w:rFonts w:ascii="宋体" w:hAnsi="宋体" w:cs="宋体" w:hint="eastAsia"/>
          <w:color w:val="000000" w:themeColor="text1"/>
          <w:sz w:val="28"/>
          <w:szCs w:val="28"/>
        </w:rPr>
        <w:t>链上下游企业进行实地调研，深入全面了解企业需求以及光伏产品运输过程中遇到的难点堵点。</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9</w:t>
      </w:r>
      <w:r>
        <w:rPr>
          <w:rFonts w:ascii="宋体" w:hAnsi="宋体" w:cs="宋体" w:hint="eastAsia"/>
          <w:color w:val="000000" w:themeColor="text1"/>
          <w:sz w:val="28"/>
          <w:szCs w:val="28"/>
        </w:rPr>
        <w:t>月</w:t>
      </w:r>
      <w:r>
        <w:rPr>
          <w:rFonts w:ascii="宋体" w:hAnsi="宋体" w:cs="宋体" w:hint="eastAsia"/>
          <w:color w:val="000000" w:themeColor="text1"/>
          <w:sz w:val="28"/>
          <w:szCs w:val="28"/>
        </w:rPr>
        <w:t>13</w:t>
      </w:r>
      <w:r>
        <w:rPr>
          <w:rFonts w:ascii="宋体" w:hAnsi="宋体" w:cs="宋体" w:hint="eastAsia"/>
          <w:color w:val="000000" w:themeColor="text1"/>
          <w:sz w:val="28"/>
          <w:szCs w:val="28"/>
        </w:rPr>
        <w:t>日，标准</w:t>
      </w:r>
      <w:proofErr w:type="gramStart"/>
      <w:r>
        <w:rPr>
          <w:rFonts w:ascii="宋体" w:hAnsi="宋体" w:cs="宋体" w:hint="eastAsia"/>
          <w:color w:val="000000" w:themeColor="text1"/>
          <w:sz w:val="28"/>
          <w:szCs w:val="28"/>
        </w:rPr>
        <w:t>研讨会于线上</w:t>
      </w:r>
      <w:proofErr w:type="gramEnd"/>
      <w:r>
        <w:rPr>
          <w:rFonts w:ascii="宋体" w:hAnsi="宋体" w:cs="宋体" w:hint="eastAsia"/>
          <w:color w:val="000000" w:themeColor="text1"/>
          <w:sz w:val="28"/>
          <w:szCs w:val="28"/>
        </w:rPr>
        <w:t>召开，</w:t>
      </w:r>
      <w:r>
        <w:rPr>
          <w:rFonts w:ascii="宋体" w:hAnsi="宋体" w:cs="宋体" w:hint="eastAsia"/>
          <w:color w:val="000000" w:themeColor="text1"/>
          <w:sz w:val="28"/>
          <w:szCs w:val="28"/>
        </w:rPr>
        <w:t>10</w:t>
      </w:r>
      <w:r>
        <w:rPr>
          <w:rFonts w:ascii="宋体" w:hAnsi="宋体" w:cs="宋体" w:hint="eastAsia"/>
          <w:color w:val="000000" w:themeColor="text1"/>
          <w:sz w:val="28"/>
          <w:szCs w:val="28"/>
        </w:rPr>
        <w:t>余名行业专家参与研讨。参会成员对标准草案框架结构和各章节细节内容等展开讨论，同时结合实地调研结果，对标准内容进一步完善，会后形成了标准工作组讨论稿（一稿）。</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10</w:t>
      </w:r>
      <w:r>
        <w:rPr>
          <w:rFonts w:ascii="宋体" w:hAnsi="宋体" w:cs="宋体" w:hint="eastAsia"/>
          <w:color w:val="000000" w:themeColor="text1"/>
          <w:sz w:val="28"/>
          <w:szCs w:val="28"/>
        </w:rPr>
        <w:t>月，日日</w:t>
      </w:r>
      <w:proofErr w:type="gramStart"/>
      <w:r>
        <w:rPr>
          <w:rFonts w:ascii="宋体" w:hAnsi="宋体" w:cs="宋体" w:hint="eastAsia"/>
          <w:color w:val="000000" w:themeColor="text1"/>
          <w:sz w:val="28"/>
          <w:szCs w:val="28"/>
        </w:rPr>
        <w:t>顺供应</w:t>
      </w:r>
      <w:proofErr w:type="gramEnd"/>
      <w:r>
        <w:rPr>
          <w:rFonts w:ascii="宋体" w:hAnsi="宋体" w:cs="宋体" w:hint="eastAsia"/>
          <w:color w:val="000000" w:themeColor="text1"/>
          <w:sz w:val="28"/>
          <w:szCs w:val="28"/>
        </w:rPr>
        <w:t>链携手行业专家对标准内容逐条斟酌、认真研究，充分考虑行业、企业现状，对现有标准内容进行修改和补</w:t>
      </w:r>
      <w:r>
        <w:rPr>
          <w:rFonts w:ascii="宋体" w:hAnsi="宋体" w:cs="宋体" w:hint="eastAsia"/>
          <w:color w:val="000000" w:themeColor="text1"/>
          <w:sz w:val="28"/>
          <w:szCs w:val="28"/>
        </w:rPr>
        <w:lastRenderedPageBreak/>
        <w:t>充，此次研讨后形成了标准工作组讨论稿（二稿）。</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11</w:t>
      </w:r>
      <w:r>
        <w:rPr>
          <w:rFonts w:ascii="宋体" w:hAnsi="宋体" w:cs="宋体" w:hint="eastAsia"/>
          <w:color w:val="000000" w:themeColor="text1"/>
          <w:sz w:val="28"/>
          <w:szCs w:val="28"/>
        </w:rPr>
        <w:t>月，标准</w:t>
      </w:r>
      <w:proofErr w:type="gramStart"/>
      <w:r>
        <w:rPr>
          <w:rFonts w:ascii="宋体" w:hAnsi="宋体" w:cs="宋体" w:hint="eastAsia"/>
          <w:color w:val="000000" w:themeColor="text1"/>
          <w:sz w:val="28"/>
          <w:szCs w:val="28"/>
        </w:rPr>
        <w:t>研讨会于线上</w:t>
      </w:r>
      <w:proofErr w:type="gramEnd"/>
      <w:r>
        <w:rPr>
          <w:rFonts w:ascii="宋体" w:hAnsi="宋体" w:cs="宋体" w:hint="eastAsia"/>
          <w:color w:val="000000" w:themeColor="text1"/>
          <w:sz w:val="28"/>
          <w:szCs w:val="28"/>
        </w:rPr>
        <w:t>召开，</w:t>
      </w:r>
      <w:r>
        <w:rPr>
          <w:rFonts w:ascii="宋体" w:hAnsi="宋体" w:cs="宋体" w:hint="eastAsia"/>
          <w:color w:val="000000" w:themeColor="text1"/>
          <w:sz w:val="28"/>
          <w:szCs w:val="28"/>
        </w:rPr>
        <w:t>10</w:t>
      </w:r>
      <w:r>
        <w:rPr>
          <w:rFonts w:ascii="宋体" w:hAnsi="宋体" w:cs="宋体" w:hint="eastAsia"/>
          <w:color w:val="000000" w:themeColor="text1"/>
          <w:sz w:val="28"/>
          <w:szCs w:val="28"/>
        </w:rPr>
        <w:t>余名行业专家参与研讨。参会成员再次对标准草案现有内容进行讨论、分析、修改，优化不合理要求，会</w:t>
      </w:r>
      <w:r>
        <w:rPr>
          <w:rFonts w:ascii="宋体" w:hAnsi="宋体" w:cs="宋体" w:hint="eastAsia"/>
          <w:color w:val="000000" w:themeColor="text1"/>
          <w:sz w:val="28"/>
          <w:szCs w:val="28"/>
        </w:rPr>
        <w:t>后形成了标准工作组讨论稿（三稿）。</w:t>
      </w:r>
    </w:p>
    <w:p w:rsidR="006B5288" w:rsidRDefault="00422F2D">
      <w:pPr>
        <w:numPr>
          <w:ilvl w:val="255"/>
          <w:numId w:val="0"/>
        </w:num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2022</w:t>
      </w:r>
      <w:r>
        <w:rPr>
          <w:rFonts w:ascii="宋体" w:hAnsi="宋体" w:cs="宋体" w:hint="eastAsia"/>
          <w:color w:val="000000" w:themeColor="text1"/>
          <w:sz w:val="28"/>
          <w:szCs w:val="28"/>
        </w:rPr>
        <w:t>年</w:t>
      </w:r>
      <w:r>
        <w:rPr>
          <w:rFonts w:ascii="宋体" w:hAnsi="宋体" w:cs="宋体" w:hint="eastAsia"/>
          <w:color w:val="000000" w:themeColor="text1"/>
          <w:sz w:val="28"/>
          <w:szCs w:val="28"/>
        </w:rPr>
        <w:t>12</w:t>
      </w:r>
      <w:r>
        <w:rPr>
          <w:rFonts w:ascii="宋体" w:hAnsi="宋体" w:cs="宋体" w:hint="eastAsia"/>
          <w:color w:val="000000" w:themeColor="text1"/>
          <w:sz w:val="28"/>
          <w:szCs w:val="28"/>
        </w:rPr>
        <w:t>月中旬，起草组开展了为期一周的内部调研，期间各起草单位结合自身情况以及实操经验对标准整体框架、逻辑以及术语定义提出建设性意见，调研后日</w:t>
      </w:r>
      <w:proofErr w:type="gramStart"/>
      <w:r>
        <w:rPr>
          <w:rFonts w:ascii="宋体" w:hAnsi="宋体" w:cs="宋体" w:hint="eastAsia"/>
          <w:color w:val="000000" w:themeColor="text1"/>
          <w:sz w:val="28"/>
          <w:szCs w:val="28"/>
        </w:rPr>
        <w:t>日顺供应链对</w:t>
      </w:r>
      <w:proofErr w:type="gramEnd"/>
      <w:r>
        <w:rPr>
          <w:rFonts w:ascii="宋体" w:hAnsi="宋体" w:cs="宋体" w:hint="eastAsia"/>
          <w:color w:val="000000" w:themeColor="text1"/>
          <w:sz w:val="28"/>
          <w:szCs w:val="28"/>
        </w:rPr>
        <w:t>意见进行梳理、融合，形成了标准征求意见稿。</w:t>
      </w:r>
    </w:p>
    <w:p w:rsidR="006B5288" w:rsidRDefault="00422F2D">
      <w:pPr>
        <w:spacing w:line="360" w:lineRule="auto"/>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四、标准编制原则</w:t>
      </w:r>
    </w:p>
    <w:p w:rsidR="006B5288" w:rsidRDefault="00422F2D">
      <w:pPr>
        <w:spacing w:line="360" w:lineRule="auto"/>
        <w:ind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（一）规范性原则</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本标准是按照</w:t>
      </w:r>
      <w:r>
        <w:rPr>
          <w:rFonts w:ascii="宋体" w:hAnsi="宋体" w:cs="宋体" w:hint="eastAsia"/>
          <w:color w:val="000000" w:themeColor="text1"/>
          <w:sz w:val="28"/>
          <w:szCs w:val="28"/>
        </w:rPr>
        <w:t>GB/T 1.1-2020</w:t>
      </w:r>
      <w:r>
        <w:rPr>
          <w:rFonts w:ascii="宋体" w:hAnsi="宋体" w:cs="宋体" w:hint="eastAsia"/>
          <w:color w:val="000000" w:themeColor="text1"/>
          <w:sz w:val="28"/>
          <w:szCs w:val="28"/>
        </w:rPr>
        <w:t>《标准化工作导则</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第</w:t>
      </w:r>
      <w:r>
        <w:rPr>
          <w:rFonts w:ascii="宋体" w:hAnsi="宋体" w:cs="宋体" w:hint="eastAsia"/>
          <w:color w:val="000000" w:themeColor="text1"/>
          <w:sz w:val="28"/>
          <w:szCs w:val="28"/>
        </w:rPr>
        <w:t>1</w:t>
      </w:r>
      <w:r>
        <w:rPr>
          <w:rFonts w:ascii="宋体" w:hAnsi="宋体" w:cs="宋体" w:hint="eastAsia"/>
          <w:color w:val="000000" w:themeColor="text1"/>
          <w:sz w:val="28"/>
          <w:szCs w:val="28"/>
        </w:rPr>
        <w:t>部分：标准化文件的结构和起草规则》、</w:t>
      </w:r>
      <w:r>
        <w:rPr>
          <w:rFonts w:ascii="宋体" w:hAnsi="宋体" w:cs="宋体" w:hint="eastAsia"/>
          <w:color w:val="000000" w:themeColor="text1"/>
          <w:sz w:val="28"/>
          <w:szCs w:val="28"/>
        </w:rPr>
        <w:t>GB/T 28222-2011</w:t>
      </w:r>
      <w:r>
        <w:rPr>
          <w:rFonts w:ascii="宋体" w:hAnsi="宋体" w:cs="宋体" w:hint="eastAsia"/>
          <w:color w:val="000000" w:themeColor="text1"/>
          <w:sz w:val="28"/>
          <w:szCs w:val="28"/>
        </w:rPr>
        <w:t>《服务标准编写通则》的规定及相关要求编制。</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w:t>
      </w:r>
      <w:r>
        <w:rPr>
          <w:rFonts w:ascii="宋体" w:hAnsi="宋体" w:cs="宋体" w:hint="eastAsia"/>
          <w:b/>
          <w:color w:val="000000" w:themeColor="text1"/>
          <w:sz w:val="28"/>
          <w:szCs w:val="28"/>
        </w:rPr>
        <w:t>二</w:t>
      </w:r>
      <w:r>
        <w:rPr>
          <w:rFonts w:ascii="宋体" w:hAnsi="宋体" w:cs="宋体"/>
          <w:b/>
          <w:color w:val="000000" w:themeColor="text1"/>
          <w:sz w:val="28"/>
          <w:szCs w:val="28"/>
        </w:rPr>
        <w:t>）</w:t>
      </w:r>
      <w:r>
        <w:rPr>
          <w:rFonts w:ascii="宋体" w:hAnsi="宋体" w:cs="宋体" w:hint="eastAsia"/>
          <w:b/>
          <w:color w:val="000000" w:themeColor="text1"/>
          <w:sz w:val="28"/>
          <w:szCs w:val="28"/>
        </w:rPr>
        <w:t>符合行业发展实际原则</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通过查阅资料、行业调研等方式全面的了解我国光伏产品运输服务过程，了解行业对标准制修订工作的诉求，使标准内容科学、合理，各项技术指标不会出现过高、过低或缺失的情况，既不能阻碍也不能制约，而是推动和规范行业的发展。</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（三）客观性原则</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本标准起草过程中，邀请光</w:t>
      </w:r>
      <w:proofErr w:type="gramStart"/>
      <w:r>
        <w:rPr>
          <w:rFonts w:ascii="宋体" w:hAnsi="宋体" w:cs="宋体" w:hint="eastAsia"/>
          <w:color w:val="000000" w:themeColor="text1"/>
          <w:sz w:val="28"/>
          <w:szCs w:val="28"/>
        </w:rPr>
        <w:t>伏产业</w:t>
      </w:r>
      <w:proofErr w:type="gramEnd"/>
      <w:r>
        <w:rPr>
          <w:rFonts w:ascii="宋体" w:hAnsi="宋体" w:cs="宋体" w:hint="eastAsia"/>
          <w:color w:val="000000" w:themeColor="text1"/>
          <w:sz w:val="28"/>
          <w:szCs w:val="28"/>
        </w:rPr>
        <w:t>链上下游企业作为标准的起草单位，充分听取企业意见，了解光伏产品运输服务作业流程和企业在服务过程中存在的问题，使标准内容尽量反映企业实际，尽可能避免</w:t>
      </w:r>
      <w:r>
        <w:rPr>
          <w:rFonts w:ascii="宋体" w:hAnsi="宋体" w:cs="宋体" w:hint="eastAsia"/>
          <w:color w:val="000000" w:themeColor="text1"/>
          <w:sz w:val="28"/>
          <w:szCs w:val="28"/>
        </w:rPr>
        <w:lastRenderedPageBreak/>
        <w:t>提供光伏产品运输服务与管理的企业因某个或某些作业环节不规范导致产品受损、无法令客户满意的情况，促进企业服务</w:t>
      </w:r>
      <w:r>
        <w:rPr>
          <w:rFonts w:ascii="宋体" w:hAnsi="宋体" w:cs="宋体" w:hint="eastAsia"/>
          <w:color w:val="000000" w:themeColor="text1"/>
          <w:sz w:val="28"/>
          <w:szCs w:val="28"/>
        </w:rPr>
        <w:t>能力和管理水平的提升。</w:t>
      </w:r>
    </w:p>
    <w:p w:rsidR="006B5288" w:rsidRDefault="00422F2D">
      <w:pPr>
        <w:spacing w:line="360" w:lineRule="auto"/>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五、标准主要内容</w:t>
      </w:r>
    </w:p>
    <w:p w:rsidR="006B5288" w:rsidRDefault="00422F2D">
      <w:pPr>
        <w:spacing w:line="360" w:lineRule="auto"/>
        <w:ind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 xml:space="preserve">1 </w:t>
      </w:r>
      <w:r>
        <w:rPr>
          <w:rFonts w:ascii="宋体" w:hAnsi="宋体" w:cs="宋体" w:hint="eastAsia"/>
          <w:b/>
          <w:color w:val="000000" w:themeColor="text1"/>
          <w:sz w:val="28"/>
          <w:szCs w:val="28"/>
        </w:rPr>
        <w:t>范围</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本文件规定了光伏产品运输服务的服务保障、服务要求和服务评价与改进内容。</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本文件适用于提供光伏产品运输服务。</w:t>
      </w:r>
    </w:p>
    <w:p w:rsidR="006B5288" w:rsidRDefault="00422F2D">
      <w:pPr>
        <w:spacing w:line="360" w:lineRule="auto"/>
        <w:ind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 xml:space="preserve">2 </w:t>
      </w:r>
      <w:r>
        <w:rPr>
          <w:rFonts w:ascii="宋体" w:hAnsi="宋体" w:cs="宋体" w:hint="eastAsia"/>
          <w:b/>
          <w:color w:val="000000" w:themeColor="text1"/>
          <w:sz w:val="28"/>
          <w:szCs w:val="28"/>
        </w:rPr>
        <w:t>规范性引用文件</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列出了本标准的规范性引用文件：</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 xml:space="preserve">GB/T 23914.2-2009 </w:t>
      </w:r>
      <w:r>
        <w:rPr>
          <w:rFonts w:ascii="宋体" w:hAnsi="宋体" w:cs="宋体" w:hint="eastAsia"/>
          <w:color w:val="000000" w:themeColor="text1"/>
          <w:sz w:val="28"/>
          <w:szCs w:val="28"/>
        </w:rPr>
        <w:t>道路车辆装载物固定装置</w:t>
      </w:r>
      <w:r>
        <w:rPr>
          <w:rFonts w:ascii="宋体" w:hAnsi="宋体" w:cs="宋体" w:hint="eastAsia"/>
          <w:color w:val="000000" w:themeColor="text1"/>
          <w:sz w:val="28"/>
          <w:szCs w:val="28"/>
        </w:rPr>
        <w:t xml:space="preserve"> </w:t>
      </w:r>
      <w:r>
        <w:rPr>
          <w:rFonts w:ascii="宋体" w:hAnsi="宋体" w:cs="宋体" w:hint="eastAsia"/>
          <w:color w:val="000000" w:themeColor="text1"/>
          <w:sz w:val="28"/>
          <w:szCs w:val="28"/>
        </w:rPr>
        <w:t>安全性　第</w:t>
      </w:r>
      <w:r>
        <w:rPr>
          <w:rFonts w:ascii="宋体" w:hAnsi="宋体" w:cs="宋体" w:hint="eastAsia"/>
          <w:color w:val="000000" w:themeColor="text1"/>
          <w:sz w:val="28"/>
          <w:szCs w:val="28"/>
        </w:rPr>
        <w:t>2</w:t>
      </w:r>
      <w:r>
        <w:rPr>
          <w:rFonts w:ascii="宋体" w:hAnsi="宋体" w:cs="宋体" w:hint="eastAsia"/>
          <w:color w:val="000000" w:themeColor="text1"/>
          <w:sz w:val="28"/>
          <w:szCs w:val="28"/>
        </w:rPr>
        <w:t>部分：合成纤维</w:t>
      </w:r>
      <w:proofErr w:type="gramStart"/>
      <w:r>
        <w:rPr>
          <w:rFonts w:ascii="宋体" w:hAnsi="宋体" w:cs="宋体" w:hint="eastAsia"/>
          <w:color w:val="000000" w:themeColor="text1"/>
          <w:sz w:val="28"/>
          <w:szCs w:val="28"/>
        </w:rPr>
        <w:t>栓紧带</w:t>
      </w:r>
      <w:proofErr w:type="gramEnd"/>
      <w:r>
        <w:rPr>
          <w:rFonts w:ascii="宋体" w:hAnsi="宋体" w:cs="宋体" w:hint="eastAsia"/>
          <w:color w:val="000000" w:themeColor="text1"/>
          <w:sz w:val="28"/>
          <w:szCs w:val="28"/>
        </w:rPr>
        <w:t>总成</w:t>
      </w:r>
    </w:p>
    <w:p w:rsidR="006B5288" w:rsidRDefault="00422F2D">
      <w:pPr>
        <w:spacing w:line="360" w:lineRule="auto"/>
        <w:ind w:firstLineChars="200" w:firstLine="562"/>
        <w:jc w:val="left"/>
        <w:rPr>
          <w:rFonts w:ascii="宋体" w:hAnsi="宋体" w:cs="宋体"/>
          <w:b/>
          <w:color w:val="000000" w:themeColor="text1"/>
          <w:sz w:val="28"/>
          <w:szCs w:val="28"/>
        </w:rPr>
      </w:pPr>
      <w:r>
        <w:rPr>
          <w:rFonts w:ascii="宋体" w:hAnsi="宋体" w:cs="宋体" w:hint="eastAsia"/>
          <w:b/>
          <w:color w:val="000000" w:themeColor="text1"/>
          <w:sz w:val="28"/>
          <w:szCs w:val="28"/>
        </w:rPr>
        <w:t xml:space="preserve">3 </w:t>
      </w:r>
      <w:r>
        <w:rPr>
          <w:rFonts w:ascii="宋体" w:hAnsi="宋体" w:cs="宋体" w:hint="eastAsia"/>
          <w:b/>
          <w:color w:val="000000" w:themeColor="text1"/>
          <w:sz w:val="28"/>
          <w:szCs w:val="28"/>
        </w:rPr>
        <w:t>术语和定义</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本标准界定了“光伏产品”、“光伏组件”、“运输管理系统”、“路勘”、和“倒短”的定义。</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Pr>
          <w:rFonts w:ascii="宋体" w:hAnsi="宋体" w:cs="宋体" w:hint="eastAsia"/>
          <w:color w:val="000000" w:themeColor="text1"/>
          <w:sz w:val="28"/>
          <w:szCs w:val="28"/>
        </w:rPr>
        <w:t>综合参考</w:t>
      </w:r>
      <w:r>
        <w:rPr>
          <w:rFonts w:ascii="宋体" w:hAnsi="宋体" w:cs="宋体" w:hint="eastAsia"/>
          <w:color w:val="000000" w:themeColor="text1"/>
          <w:sz w:val="28"/>
          <w:szCs w:val="28"/>
        </w:rPr>
        <w:t>GB/T18354-2021</w:t>
      </w:r>
      <w:r>
        <w:rPr>
          <w:rFonts w:ascii="宋体" w:hAnsi="宋体" w:cs="宋体" w:hint="eastAsia"/>
          <w:color w:val="000000" w:themeColor="text1"/>
          <w:sz w:val="28"/>
          <w:szCs w:val="28"/>
        </w:rPr>
        <w:t>《物流术语》、</w:t>
      </w:r>
      <w:r>
        <w:rPr>
          <w:rFonts w:ascii="宋体" w:hAnsi="宋体" w:cs="宋体" w:hint="eastAsia"/>
          <w:color w:val="000000" w:themeColor="text1"/>
          <w:sz w:val="28"/>
          <w:szCs w:val="28"/>
        </w:rPr>
        <w:t>GB/T39857-2021</w:t>
      </w:r>
      <w:r>
        <w:rPr>
          <w:rFonts w:ascii="宋体" w:hAnsi="宋体" w:cs="宋体" w:hint="eastAsia"/>
          <w:color w:val="000000" w:themeColor="text1"/>
          <w:sz w:val="28"/>
          <w:szCs w:val="28"/>
        </w:rPr>
        <w:t>《光伏发电效率技术规范》、研讨会专家和企业广泛征求意见，术语定义经企业调研及专家论证。</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4</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服务保障</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本章节从服务提供方、从业人员、设施设备、管理信息系统等方面规定了服务保障要求。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4.1</w:t>
      </w:r>
      <w:r>
        <w:rPr>
          <w:rFonts w:ascii="宋体" w:hAnsi="宋体" w:cs="宋体" w:hint="eastAsia"/>
          <w:color w:val="000000" w:themeColor="text1"/>
          <w:sz w:val="28"/>
          <w:szCs w:val="28"/>
        </w:rPr>
        <w:t>给出了光伏产品运输服务提供方应具备能力的基本要</w:t>
      </w:r>
      <w:r>
        <w:rPr>
          <w:rFonts w:ascii="宋体" w:hAnsi="宋体" w:cs="宋体" w:hint="eastAsia"/>
          <w:color w:val="000000" w:themeColor="text1"/>
          <w:sz w:val="28"/>
          <w:szCs w:val="28"/>
        </w:rPr>
        <w:lastRenderedPageBreak/>
        <w:t>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4.2</w:t>
      </w:r>
      <w:r>
        <w:rPr>
          <w:rFonts w:ascii="宋体" w:hAnsi="宋体" w:cs="宋体" w:hint="eastAsia"/>
          <w:color w:val="000000" w:themeColor="text1"/>
          <w:sz w:val="28"/>
          <w:szCs w:val="28"/>
        </w:rPr>
        <w:t>对光</w:t>
      </w:r>
      <w:proofErr w:type="gramStart"/>
      <w:r>
        <w:rPr>
          <w:rFonts w:ascii="宋体" w:hAnsi="宋体" w:cs="宋体" w:hint="eastAsia"/>
          <w:color w:val="000000" w:themeColor="text1"/>
          <w:sz w:val="28"/>
          <w:szCs w:val="28"/>
        </w:rPr>
        <w:t>伏</w:t>
      </w:r>
      <w:proofErr w:type="gramEnd"/>
      <w:r>
        <w:rPr>
          <w:rFonts w:ascii="宋体" w:hAnsi="宋体" w:cs="宋体" w:hint="eastAsia"/>
          <w:color w:val="000000" w:themeColor="text1"/>
          <w:sz w:val="28"/>
          <w:szCs w:val="28"/>
        </w:rPr>
        <w:t>产品运输服务从业人员做了基本要求，包括“应取得相关从业证书，并经过系列培训及安全教育等”。</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4.3</w:t>
      </w:r>
      <w:r>
        <w:rPr>
          <w:rFonts w:ascii="宋体" w:hAnsi="宋体" w:cs="宋体" w:hint="eastAsia"/>
          <w:color w:val="000000" w:themeColor="text1"/>
          <w:sz w:val="28"/>
          <w:szCs w:val="28"/>
        </w:rPr>
        <w:t>对光</w:t>
      </w:r>
      <w:proofErr w:type="gramStart"/>
      <w:r>
        <w:rPr>
          <w:rFonts w:ascii="宋体" w:hAnsi="宋体" w:cs="宋体" w:hint="eastAsia"/>
          <w:color w:val="000000" w:themeColor="text1"/>
          <w:sz w:val="28"/>
          <w:szCs w:val="28"/>
        </w:rPr>
        <w:t>伏</w:t>
      </w:r>
      <w:proofErr w:type="gramEnd"/>
      <w:r>
        <w:rPr>
          <w:rFonts w:ascii="宋体" w:hAnsi="宋体" w:cs="宋体" w:hint="eastAsia"/>
          <w:color w:val="000000" w:themeColor="text1"/>
          <w:sz w:val="28"/>
          <w:szCs w:val="28"/>
        </w:rPr>
        <w:t>产品运输服务所需的设施设备做了基本要求，包括运输车辆要求、固定器具要求等。</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4.4</w:t>
      </w:r>
      <w:r>
        <w:rPr>
          <w:rFonts w:ascii="宋体" w:hAnsi="宋体" w:cs="宋体" w:hint="eastAsia"/>
          <w:color w:val="000000" w:themeColor="text1"/>
          <w:sz w:val="28"/>
          <w:szCs w:val="28"/>
        </w:rPr>
        <w:t>对光</w:t>
      </w:r>
      <w:proofErr w:type="gramStart"/>
      <w:r>
        <w:rPr>
          <w:rFonts w:ascii="宋体" w:hAnsi="宋体" w:cs="宋体" w:hint="eastAsia"/>
          <w:color w:val="000000" w:themeColor="text1"/>
          <w:sz w:val="28"/>
          <w:szCs w:val="28"/>
        </w:rPr>
        <w:t>伏</w:t>
      </w:r>
      <w:proofErr w:type="gramEnd"/>
      <w:r>
        <w:rPr>
          <w:rFonts w:ascii="宋体" w:hAnsi="宋体" w:cs="宋体" w:hint="eastAsia"/>
          <w:color w:val="000000" w:themeColor="text1"/>
          <w:sz w:val="28"/>
          <w:szCs w:val="28"/>
        </w:rPr>
        <w:t>产品运输服务应配置的管理信息系统各项功能做了基本要求。</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Pr>
          <w:rFonts w:ascii="宋体" w:hAnsi="宋体" w:cs="宋体" w:hint="eastAsia"/>
          <w:color w:val="000000" w:themeColor="text1"/>
          <w:sz w:val="28"/>
          <w:szCs w:val="28"/>
        </w:rPr>
        <w:t>综合参考</w:t>
      </w:r>
      <w:r>
        <w:rPr>
          <w:rFonts w:ascii="宋体" w:hAnsi="宋体" w:cs="宋体" w:hint="eastAsia"/>
          <w:color w:val="000000" w:themeColor="text1"/>
          <w:sz w:val="28"/>
          <w:szCs w:val="28"/>
        </w:rPr>
        <w:t>GB/T 18354</w:t>
      </w:r>
      <w:r>
        <w:rPr>
          <w:rFonts w:ascii="宋体" w:hAnsi="宋体" w:cs="宋体" w:hint="eastAsia"/>
          <w:color w:val="000000" w:themeColor="text1"/>
          <w:sz w:val="28"/>
          <w:szCs w:val="28"/>
        </w:rPr>
        <w:t>《物流术语》、</w:t>
      </w:r>
      <w:r>
        <w:rPr>
          <w:rFonts w:ascii="宋体" w:hAnsi="宋体" w:cs="宋体" w:hint="eastAsia"/>
          <w:color w:val="000000" w:themeColor="text1"/>
          <w:sz w:val="28"/>
          <w:szCs w:val="28"/>
        </w:rPr>
        <w:t>WB/T 1083-2018</w:t>
      </w:r>
      <w:r>
        <w:rPr>
          <w:rFonts w:ascii="宋体" w:hAnsi="宋体" w:cs="宋体" w:hint="eastAsia"/>
          <w:color w:val="000000" w:themeColor="text1"/>
          <w:sz w:val="28"/>
          <w:szCs w:val="28"/>
        </w:rPr>
        <w:t>《家电物流配送服务要求》等资料，结合企业调研及专家论证，确定上述服务保障制定思路。</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 xml:space="preserve">5 </w:t>
      </w:r>
      <w:r>
        <w:rPr>
          <w:rFonts w:ascii="宋体" w:hAnsi="宋体" w:cs="宋体" w:hint="eastAsia"/>
          <w:b/>
          <w:color w:val="000000" w:themeColor="text1"/>
          <w:sz w:val="28"/>
          <w:szCs w:val="28"/>
        </w:rPr>
        <w:t>服务要求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本章节从路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、提货、装车、在途、倒短、交付</w:t>
      </w:r>
      <w:r>
        <w:rPr>
          <w:rFonts w:ascii="宋体" w:hAnsi="宋体" w:cs="宋体" w:hint="eastAsia"/>
          <w:color w:val="000000" w:themeColor="text1"/>
          <w:sz w:val="28"/>
          <w:szCs w:val="28"/>
        </w:rPr>
        <w:t>6</w:t>
      </w:r>
      <w:r>
        <w:rPr>
          <w:rFonts w:ascii="宋体" w:hAnsi="宋体" w:cs="宋体" w:hint="eastAsia"/>
          <w:color w:val="000000" w:themeColor="text1"/>
          <w:sz w:val="28"/>
          <w:szCs w:val="28"/>
        </w:rPr>
        <w:t>个方面对光</w:t>
      </w:r>
      <w:proofErr w:type="gramStart"/>
      <w:r>
        <w:rPr>
          <w:rFonts w:ascii="宋体" w:hAnsi="宋体" w:cs="宋体" w:hint="eastAsia"/>
          <w:color w:val="000000" w:themeColor="text1"/>
          <w:sz w:val="28"/>
          <w:szCs w:val="28"/>
        </w:rPr>
        <w:t>伏</w:t>
      </w:r>
      <w:proofErr w:type="gramEnd"/>
      <w:r>
        <w:rPr>
          <w:rFonts w:ascii="宋体" w:hAnsi="宋体" w:cs="宋体" w:hint="eastAsia"/>
          <w:color w:val="000000" w:themeColor="text1"/>
          <w:sz w:val="28"/>
          <w:szCs w:val="28"/>
        </w:rPr>
        <w:t>产品运输作业流程中的具体操作进行了规范。</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5.1</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路</w:t>
      </w:r>
      <w:proofErr w:type="gramStart"/>
      <w:r>
        <w:rPr>
          <w:rFonts w:ascii="宋体" w:hAnsi="宋体" w:cs="宋体" w:hint="eastAsia"/>
          <w:b/>
          <w:color w:val="000000" w:themeColor="text1"/>
          <w:sz w:val="28"/>
          <w:szCs w:val="28"/>
        </w:rPr>
        <w:t>勘</w:t>
      </w:r>
      <w:proofErr w:type="gramEnd"/>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5.1.1</w:t>
      </w:r>
      <w:r>
        <w:rPr>
          <w:rFonts w:ascii="宋体" w:hAnsi="宋体" w:cs="宋体" w:hint="eastAsia"/>
          <w:color w:val="000000" w:themeColor="text1"/>
          <w:sz w:val="28"/>
          <w:szCs w:val="28"/>
        </w:rPr>
        <w:t>、</w:t>
      </w:r>
      <w:r>
        <w:rPr>
          <w:rFonts w:ascii="宋体" w:hAnsi="宋体" w:cs="宋体" w:hint="eastAsia"/>
          <w:color w:val="000000" w:themeColor="text1"/>
          <w:sz w:val="28"/>
          <w:szCs w:val="28"/>
        </w:rPr>
        <w:t>5.1.2</w:t>
      </w:r>
      <w:r>
        <w:rPr>
          <w:rFonts w:ascii="宋体" w:hAnsi="宋体" w:cs="宋体" w:hint="eastAsia"/>
          <w:color w:val="000000" w:themeColor="text1"/>
          <w:sz w:val="28"/>
          <w:szCs w:val="28"/>
        </w:rPr>
        <w:t>对路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的起点选择、前期准备进行了</w:t>
      </w:r>
      <w:r>
        <w:rPr>
          <w:rFonts w:ascii="宋体" w:hAnsi="宋体" w:cs="宋体" w:hint="eastAsia"/>
          <w:color w:val="000000" w:themeColor="text1"/>
          <w:sz w:val="28"/>
          <w:szCs w:val="28"/>
        </w:rPr>
        <w:t>相关规定。</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5.1.3</w:t>
      </w:r>
      <w:r>
        <w:rPr>
          <w:rFonts w:ascii="宋体" w:hAnsi="宋体" w:cs="宋体" w:hint="eastAsia"/>
          <w:color w:val="000000" w:themeColor="text1"/>
          <w:sz w:val="28"/>
          <w:szCs w:val="28"/>
        </w:rPr>
        <w:t>对路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内容提出了具体要求，包括道路情况、建筑物、障碍物、天气等因素。</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5.1.4</w:t>
      </w:r>
      <w:r>
        <w:rPr>
          <w:rFonts w:ascii="宋体" w:hAnsi="宋体" w:cs="宋体" w:hint="eastAsia"/>
          <w:color w:val="000000" w:themeColor="text1"/>
          <w:sz w:val="28"/>
          <w:szCs w:val="28"/>
        </w:rPr>
        <w:t>规定了路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后的输出总结内容，包括货物运输路线、是否需要倒短、</w:t>
      </w:r>
      <w:proofErr w:type="gramStart"/>
      <w:r>
        <w:rPr>
          <w:rFonts w:ascii="宋体" w:hAnsi="宋体" w:cs="宋体" w:hint="eastAsia"/>
          <w:color w:val="000000" w:themeColor="text1"/>
          <w:sz w:val="28"/>
          <w:szCs w:val="28"/>
        </w:rPr>
        <w:t>倒短场地</w:t>
      </w:r>
      <w:proofErr w:type="gramEnd"/>
      <w:r>
        <w:rPr>
          <w:rFonts w:ascii="宋体" w:hAnsi="宋体" w:cs="宋体" w:hint="eastAsia"/>
          <w:color w:val="000000" w:themeColor="text1"/>
          <w:sz w:val="28"/>
          <w:szCs w:val="28"/>
        </w:rPr>
        <w:t>情况、收货地状况等。</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8E05C9" w:rsidRPr="008E05C9">
        <w:rPr>
          <w:rFonts w:ascii="宋体" w:hAnsi="宋体" w:cs="宋体" w:hint="eastAsia"/>
          <w:color w:val="000000" w:themeColor="text1"/>
          <w:sz w:val="28"/>
          <w:szCs w:val="28"/>
        </w:rPr>
        <w:t>经过调研，</w:t>
      </w:r>
      <w:r w:rsidR="004F6773">
        <w:rPr>
          <w:rFonts w:ascii="宋体" w:hAnsi="宋体" w:cs="宋体" w:hint="eastAsia"/>
          <w:color w:val="000000" w:themeColor="text1"/>
          <w:sz w:val="28"/>
          <w:szCs w:val="28"/>
        </w:rPr>
        <w:t>由于光伏产品易货损等特点，需要服务提供方在服务提供前进行道路勘察，尽可能选择路面平稳、减速带少的</w:t>
      </w:r>
      <w:r w:rsidR="004F6773">
        <w:rPr>
          <w:rFonts w:ascii="宋体" w:hAnsi="宋体" w:cs="宋体" w:hint="eastAsia"/>
          <w:color w:val="000000" w:themeColor="text1"/>
          <w:sz w:val="28"/>
          <w:szCs w:val="28"/>
        </w:rPr>
        <w:lastRenderedPageBreak/>
        <w:t>运输路线；同时由于光伏收货项目地一般较偏远，场地状况普遍较差，需提前勘察确定是否需要小型车辆进行</w:t>
      </w:r>
      <w:proofErr w:type="gramStart"/>
      <w:r w:rsidR="006F3975">
        <w:rPr>
          <w:rFonts w:ascii="宋体" w:hAnsi="宋体" w:cs="宋体" w:hint="eastAsia"/>
          <w:color w:val="000000" w:themeColor="text1"/>
          <w:sz w:val="28"/>
          <w:szCs w:val="28"/>
        </w:rPr>
        <w:t>倒短</w:t>
      </w:r>
      <w:r w:rsidR="0041096A">
        <w:rPr>
          <w:rFonts w:ascii="宋体" w:hAnsi="宋体" w:cs="宋体" w:hint="eastAsia"/>
          <w:color w:val="000000" w:themeColor="text1"/>
          <w:sz w:val="28"/>
          <w:szCs w:val="28"/>
        </w:rPr>
        <w:t>才</w:t>
      </w:r>
      <w:proofErr w:type="gramEnd"/>
      <w:r w:rsidR="0041096A">
        <w:rPr>
          <w:rFonts w:ascii="宋体" w:hAnsi="宋体" w:cs="宋体" w:hint="eastAsia"/>
          <w:color w:val="000000" w:themeColor="text1"/>
          <w:sz w:val="28"/>
          <w:szCs w:val="28"/>
        </w:rPr>
        <w:t>可送入场地内</w:t>
      </w:r>
      <w:r w:rsidR="006F3975">
        <w:rPr>
          <w:rFonts w:ascii="宋体" w:hAnsi="宋体" w:cs="宋体" w:hint="eastAsia"/>
          <w:color w:val="000000" w:themeColor="text1"/>
          <w:sz w:val="28"/>
          <w:szCs w:val="28"/>
        </w:rPr>
        <w:t>。通过路</w:t>
      </w:r>
      <w:proofErr w:type="gramStart"/>
      <w:r w:rsidR="006F3975">
        <w:rPr>
          <w:rFonts w:ascii="宋体" w:hAnsi="宋体" w:cs="宋体" w:hint="eastAsia"/>
          <w:color w:val="000000" w:themeColor="text1"/>
          <w:sz w:val="28"/>
          <w:szCs w:val="28"/>
        </w:rPr>
        <w:t>勘</w:t>
      </w:r>
      <w:proofErr w:type="gramEnd"/>
      <w:r w:rsidR="006F3975">
        <w:rPr>
          <w:rFonts w:ascii="宋体" w:hAnsi="宋体" w:cs="宋体" w:hint="eastAsia"/>
          <w:color w:val="000000" w:themeColor="text1"/>
          <w:sz w:val="28"/>
          <w:szCs w:val="28"/>
        </w:rPr>
        <w:t>报告的输出，确保</w:t>
      </w:r>
      <w:r w:rsidR="0041096A">
        <w:rPr>
          <w:rFonts w:ascii="宋体" w:hAnsi="宋体" w:cs="宋体" w:hint="eastAsia"/>
          <w:color w:val="000000" w:themeColor="text1"/>
          <w:sz w:val="28"/>
          <w:szCs w:val="28"/>
        </w:rPr>
        <w:t>尽量</w:t>
      </w:r>
      <w:r w:rsidR="006F3975">
        <w:rPr>
          <w:rFonts w:ascii="宋体" w:hAnsi="宋体" w:cs="宋体" w:hint="eastAsia"/>
          <w:color w:val="000000" w:themeColor="text1"/>
          <w:sz w:val="28"/>
          <w:szCs w:val="28"/>
        </w:rPr>
        <w:t>降低货损的可能性，并能在规定时间内交付项目收货地。本节</w:t>
      </w:r>
      <w:r>
        <w:rPr>
          <w:rFonts w:ascii="宋体" w:hAnsi="宋体" w:cs="宋体" w:hint="eastAsia"/>
          <w:color w:val="000000" w:themeColor="text1"/>
          <w:sz w:val="28"/>
          <w:szCs w:val="28"/>
        </w:rPr>
        <w:t>结合企业调研及多次专家论证，确定路</w:t>
      </w:r>
      <w:proofErr w:type="gramStart"/>
      <w:r>
        <w:rPr>
          <w:rFonts w:ascii="宋体" w:hAnsi="宋体" w:cs="宋体" w:hint="eastAsia"/>
          <w:color w:val="000000" w:themeColor="text1"/>
          <w:sz w:val="28"/>
          <w:szCs w:val="28"/>
        </w:rPr>
        <w:t>勘</w:t>
      </w:r>
      <w:proofErr w:type="gramEnd"/>
      <w:r>
        <w:rPr>
          <w:rFonts w:ascii="宋体" w:hAnsi="宋体" w:cs="宋体" w:hint="eastAsia"/>
          <w:color w:val="000000" w:themeColor="text1"/>
          <w:sz w:val="28"/>
          <w:szCs w:val="28"/>
        </w:rPr>
        <w:t>要求</w:t>
      </w:r>
      <w:r w:rsidR="006F3975">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5.2</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提货</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5.2.1</w:t>
      </w:r>
      <w:r>
        <w:rPr>
          <w:rFonts w:ascii="宋体" w:hAnsi="宋体" w:cs="宋体" w:hint="eastAsia"/>
          <w:color w:val="000000" w:themeColor="text1"/>
          <w:sz w:val="28"/>
          <w:szCs w:val="28"/>
        </w:rPr>
        <w:t>、</w:t>
      </w:r>
      <w:r>
        <w:rPr>
          <w:rFonts w:ascii="宋体" w:hAnsi="宋体" w:cs="宋体" w:hint="eastAsia"/>
          <w:color w:val="000000" w:themeColor="text1"/>
          <w:sz w:val="28"/>
          <w:szCs w:val="28"/>
        </w:rPr>
        <w:t>5.2.2</w:t>
      </w:r>
      <w:r>
        <w:rPr>
          <w:rFonts w:ascii="宋体" w:hAnsi="宋体" w:cs="宋体" w:hint="eastAsia"/>
          <w:color w:val="000000" w:themeColor="text1"/>
          <w:sz w:val="28"/>
          <w:szCs w:val="28"/>
        </w:rPr>
        <w:t>、</w:t>
      </w:r>
      <w:r>
        <w:rPr>
          <w:rFonts w:ascii="宋体" w:hAnsi="宋体" w:cs="宋体" w:hint="eastAsia"/>
          <w:color w:val="000000" w:themeColor="text1"/>
          <w:sz w:val="28"/>
          <w:szCs w:val="28"/>
        </w:rPr>
        <w:t>5.2.3</w:t>
      </w:r>
      <w:r>
        <w:rPr>
          <w:rFonts w:ascii="宋体" w:hAnsi="宋体" w:cs="宋体" w:hint="eastAsia"/>
          <w:color w:val="000000" w:themeColor="text1"/>
          <w:sz w:val="28"/>
          <w:szCs w:val="28"/>
        </w:rPr>
        <w:t>规定了在收到发货</w:t>
      </w:r>
      <w:proofErr w:type="gramStart"/>
      <w:r>
        <w:rPr>
          <w:rFonts w:ascii="宋体" w:hAnsi="宋体" w:cs="宋体" w:hint="eastAsia"/>
          <w:color w:val="000000" w:themeColor="text1"/>
          <w:sz w:val="28"/>
          <w:szCs w:val="28"/>
        </w:rPr>
        <w:t>方需求</w:t>
      </w:r>
      <w:proofErr w:type="gramEnd"/>
      <w:r>
        <w:rPr>
          <w:rFonts w:ascii="宋体" w:hAnsi="宋体" w:cs="宋体" w:hint="eastAsia"/>
          <w:color w:val="000000" w:themeColor="text1"/>
          <w:sz w:val="28"/>
          <w:szCs w:val="28"/>
        </w:rPr>
        <w:t>后，应进行的前期工作，其中条款</w:t>
      </w:r>
      <w:r>
        <w:rPr>
          <w:rFonts w:ascii="宋体" w:hAnsi="宋体" w:cs="宋体" w:hint="eastAsia"/>
          <w:color w:val="000000" w:themeColor="text1"/>
          <w:sz w:val="28"/>
          <w:szCs w:val="28"/>
        </w:rPr>
        <w:t>5.2.2</w:t>
      </w:r>
      <w:r>
        <w:rPr>
          <w:rFonts w:ascii="宋体" w:hAnsi="宋体" w:cs="宋体" w:hint="eastAsia"/>
          <w:color w:val="000000" w:themeColor="text1"/>
          <w:sz w:val="28"/>
          <w:szCs w:val="28"/>
        </w:rPr>
        <w:t>对硅料、硅棒、硅片、电池片、辅材、光伏组件等不同光伏产品应匹配的运输车型给出了具体要求。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5.2.4</w:t>
      </w:r>
      <w:r>
        <w:rPr>
          <w:rFonts w:ascii="宋体" w:hAnsi="宋体" w:cs="宋体" w:hint="eastAsia"/>
          <w:color w:val="000000" w:themeColor="text1"/>
          <w:sz w:val="28"/>
          <w:szCs w:val="28"/>
        </w:rPr>
        <w:t>规定了车辆到达后司机的相关要求。</w:t>
      </w:r>
    </w:p>
    <w:p w:rsidR="006B5288" w:rsidRDefault="00422F2D" w:rsidP="00CE0E50">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CE0E50" w:rsidRPr="00CE0E50">
        <w:rPr>
          <w:rFonts w:ascii="宋体" w:hAnsi="宋体" w:cs="宋体" w:hint="eastAsia"/>
          <w:color w:val="000000" w:themeColor="text1"/>
          <w:sz w:val="28"/>
          <w:szCs w:val="28"/>
        </w:rPr>
        <w:t>经过调研，由于不同品类光伏产品的货值不同、一般项目收货地或收货工厂的卸货条件也不同，因此对相应的运输车型的安全性、保护性、效率、卸货方式等具有不同要求。如硅片、电池片等货值较高，卸货场地多为工厂，因此优先采用保护性更好的厢车进行运输；光伏组件的收货地多无叉车等配合，需要吊装，因此采用平板车便于卸货操作。</w:t>
      </w:r>
      <w:r w:rsidR="00CE0E50">
        <w:rPr>
          <w:rFonts w:ascii="宋体" w:hAnsi="宋体" w:cs="宋体" w:hint="eastAsia"/>
          <w:color w:val="000000" w:themeColor="text1"/>
          <w:sz w:val="28"/>
          <w:szCs w:val="28"/>
        </w:rPr>
        <w:t>本节</w:t>
      </w:r>
      <w:r>
        <w:rPr>
          <w:rFonts w:ascii="宋体" w:hAnsi="宋体" w:cs="宋体" w:hint="eastAsia"/>
          <w:color w:val="000000" w:themeColor="text1"/>
          <w:sz w:val="28"/>
          <w:szCs w:val="28"/>
        </w:rPr>
        <w:t>结合企业调研及多次专家论证，确定提货要求</w:t>
      </w:r>
      <w:r w:rsidR="00CE0E50">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b/>
          <w:color w:val="000000" w:themeColor="text1"/>
          <w:sz w:val="28"/>
          <w:szCs w:val="28"/>
        </w:rPr>
        <w:t>5.3</w:t>
      </w:r>
      <w:r>
        <w:rPr>
          <w:rFonts w:ascii="宋体" w:hAnsi="宋体" w:cs="宋体" w:hint="eastAsia"/>
          <w:b/>
          <w:color w:val="000000" w:themeColor="text1"/>
          <w:sz w:val="28"/>
          <w:szCs w:val="28"/>
        </w:rPr>
        <w:t xml:space="preserve"> </w:t>
      </w:r>
      <w:r>
        <w:rPr>
          <w:rFonts w:ascii="宋体" w:hAnsi="宋体" w:cs="宋体" w:hint="eastAsia"/>
          <w:b/>
          <w:color w:val="000000" w:themeColor="text1"/>
          <w:sz w:val="28"/>
          <w:szCs w:val="28"/>
        </w:rPr>
        <w:t>装车</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5.3.1</w:t>
      </w:r>
      <w:r>
        <w:rPr>
          <w:rFonts w:ascii="宋体" w:hAnsi="宋体" w:cs="宋体" w:hint="eastAsia"/>
          <w:color w:val="000000" w:themeColor="text1"/>
          <w:sz w:val="28"/>
          <w:szCs w:val="28"/>
        </w:rPr>
        <w:t>规定了装车前应进行的相关检查以及辅助材料准备。</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5.3.2</w:t>
      </w:r>
      <w:r>
        <w:rPr>
          <w:rFonts w:ascii="宋体" w:hAnsi="宋体" w:cs="宋体" w:hint="eastAsia"/>
          <w:color w:val="000000" w:themeColor="text1"/>
          <w:sz w:val="28"/>
          <w:szCs w:val="28"/>
        </w:rPr>
        <w:t>规定了货物外包装要求。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5.3.3</w:t>
      </w:r>
      <w:r>
        <w:rPr>
          <w:rFonts w:ascii="宋体" w:hAnsi="宋体" w:cs="宋体" w:hint="eastAsia"/>
          <w:color w:val="000000" w:themeColor="text1"/>
          <w:sz w:val="28"/>
          <w:szCs w:val="28"/>
        </w:rPr>
        <w:t>规定了货物堆码相关要求。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5.3.4</w:t>
      </w:r>
      <w:r>
        <w:rPr>
          <w:rFonts w:ascii="宋体" w:hAnsi="宋体" w:cs="宋体" w:hint="eastAsia"/>
          <w:color w:val="000000" w:themeColor="text1"/>
          <w:sz w:val="28"/>
          <w:szCs w:val="28"/>
        </w:rPr>
        <w:t>针对高低板车规定了使用要求。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条款</w:t>
      </w:r>
      <w:r>
        <w:rPr>
          <w:rFonts w:ascii="宋体" w:hAnsi="宋体" w:cs="宋体" w:hint="eastAsia"/>
          <w:color w:val="000000" w:themeColor="text1"/>
          <w:sz w:val="28"/>
          <w:szCs w:val="28"/>
        </w:rPr>
        <w:t>5.3.5</w:t>
      </w:r>
      <w:r>
        <w:rPr>
          <w:rFonts w:ascii="宋体" w:hAnsi="宋体" w:cs="宋体" w:hint="eastAsia"/>
          <w:color w:val="000000" w:themeColor="text1"/>
          <w:sz w:val="28"/>
          <w:szCs w:val="28"/>
        </w:rPr>
        <w:t>对硅棒、硅片、电池片、辅材、光伏组件等不同光伏产品的加固方法做出了要求。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5.3.6</w:t>
      </w:r>
      <w:r>
        <w:rPr>
          <w:rFonts w:ascii="宋体" w:hAnsi="宋体" w:cs="宋体" w:hint="eastAsia"/>
          <w:color w:val="000000" w:themeColor="text1"/>
          <w:sz w:val="28"/>
          <w:szCs w:val="28"/>
        </w:rPr>
        <w:t>规定应对货物加盖篷布。</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5.3.7</w:t>
      </w:r>
      <w:r>
        <w:rPr>
          <w:rFonts w:ascii="宋体" w:hAnsi="宋体" w:cs="宋体" w:hint="eastAsia"/>
          <w:color w:val="000000" w:themeColor="text1"/>
          <w:sz w:val="28"/>
          <w:szCs w:val="28"/>
        </w:rPr>
        <w:t>规定应确认单据与实际货物数量一致性。</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751EC7" w:rsidRPr="00751EC7">
        <w:rPr>
          <w:rFonts w:ascii="宋体" w:hAnsi="宋体" w:cs="宋体" w:hint="eastAsia"/>
          <w:color w:val="000000" w:themeColor="text1"/>
          <w:sz w:val="28"/>
          <w:szCs w:val="28"/>
        </w:rPr>
        <w:t>经过调研，由于光伏产品大多易碎的特性，装车堆码时具有相应要求；同时不同品类光伏产品的货值不同、包装不同、运输车型不同，因此对应的加固方式也不同。</w:t>
      </w:r>
      <w:r w:rsidR="00751EC7">
        <w:rPr>
          <w:rFonts w:ascii="宋体" w:hAnsi="宋体" w:cs="宋体" w:hint="eastAsia"/>
          <w:color w:val="000000" w:themeColor="text1"/>
          <w:sz w:val="28"/>
          <w:szCs w:val="28"/>
        </w:rPr>
        <w:t>本节</w:t>
      </w:r>
      <w:r>
        <w:rPr>
          <w:rFonts w:ascii="宋体" w:hAnsi="宋体" w:cs="宋体" w:hint="eastAsia"/>
          <w:color w:val="000000" w:themeColor="text1"/>
          <w:sz w:val="28"/>
          <w:szCs w:val="28"/>
        </w:rPr>
        <w:t>结合企业调研及多次专家论证，确定装车要求</w:t>
      </w:r>
      <w:r w:rsidR="00751EC7">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 xml:space="preserve">5.4 </w:t>
      </w:r>
      <w:r>
        <w:rPr>
          <w:rFonts w:ascii="宋体" w:hAnsi="宋体" w:cs="宋体" w:hint="eastAsia"/>
          <w:b/>
          <w:color w:val="000000" w:themeColor="text1"/>
          <w:sz w:val="28"/>
          <w:szCs w:val="28"/>
        </w:rPr>
        <w:t>在途</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5.4.1</w:t>
      </w:r>
      <w:r>
        <w:rPr>
          <w:rFonts w:ascii="宋体" w:hAnsi="宋体" w:cs="宋体" w:hint="eastAsia"/>
          <w:color w:val="000000" w:themeColor="text1"/>
          <w:sz w:val="28"/>
          <w:szCs w:val="28"/>
        </w:rPr>
        <w:t>对在途时司机的行驶状态进行了要求。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5.4.2</w:t>
      </w:r>
      <w:r>
        <w:rPr>
          <w:rFonts w:ascii="宋体" w:hAnsi="宋体" w:cs="宋体" w:hint="eastAsia"/>
          <w:color w:val="000000" w:themeColor="text1"/>
          <w:sz w:val="28"/>
          <w:szCs w:val="28"/>
        </w:rPr>
        <w:t>、</w:t>
      </w:r>
      <w:r>
        <w:rPr>
          <w:rFonts w:ascii="宋体" w:hAnsi="宋体" w:cs="宋体" w:hint="eastAsia"/>
          <w:color w:val="000000" w:themeColor="text1"/>
          <w:sz w:val="28"/>
          <w:szCs w:val="28"/>
        </w:rPr>
        <w:t>5.4.3</w:t>
      </w:r>
      <w:r>
        <w:rPr>
          <w:rFonts w:ascii="宋体" w:hAnsi="宋体" w:cs="宋体" w:hint="eastAsia"/>
          <w:color w:val="000000" w:themeColor="text1"/>
          <w:sz w:val="28"/>
          <w:szCs w:val="28"/>
        </w:rPr>
        <w:t>、</w:t>
      </w:r>
      <w:r>
        <w:rPr>
          <w:rFonts w:ascii="宋体" w:hAnsi="宋体" w:cs="宋体" w:hint="eastAsia"/>
          <w:color w:val="000000" w:themeColor="text1"/>
          <w:sz w:val="28"/>
          <w:szCs w:val="28"/>
        </w:rPr>
        <w:t>5.4.4</w:t>
      </w:r>
      <w:r>
        <w:rPr>
          <w:rFonts w:ascii="宋体" w:hAnsi="宋体" w:cs="宋体" w:hint="eastAsia"/>
          <w:color w:val="000000" w:themeColor="text1"/>
          <w:sz w:val="28"/>
          <w:szCs w:val="28"/>
        </w:rPr>
        <w:t>针对运输途中的各类特殊情况处理方式进行了规定。</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5771DE" w:rsidRPr="005771DE">
        <w:rPr>
          <w:rFonts w:ascii="宋体" w:hAnsi="宋体" w:cs="宋体" w:hint="eastAsia"/>
          <w:color w:val="000000" w:themeColor="text1"/>
          <w:sz w:val="28"/>
          <w:szCs w:val="28"/>
        </w:rPr>
        <w:t>经过调研，</w:t>
      </w:r>
      <w:r w:rsidR="00737F05">
        <w:rPr>
          <w:rFonts w:ascii="宋体" w:hAnsi="宋体" w:cs="宋体" w:hint="eastAsia"/>
          <w:color w:val="000000" w:themeColor="text1"/>
          <w:sz w:val="28"/>
          <w:szCs w:val="28"/>
        </w:rPr>
        <w:t>司机在运输途中，为保证时效以及货物安全，</w:t>
      </w:r>
      <w:r w:rsidR="009003D9">
        <w:rPr>
          <w:rFonts w:ascii="宋体" w:hAnsi="宋体" w:cs="宋体" w:hint="eastAsia"/>
          <w:color w:val="000000" w:themeColor="text1"/>
          <w:sz w:val="28"/>
          <w:szCs w:val="28"/>
        </w:rPr>
        <w:t>应按相关规定驾驶并具备应急处理能力。本节</w:t>
      </w:r>
      <w:r>
        <w:rPr>
          <w:rFonts w:ascii="宋体" w:hAnsi="宋体" w:cs="宋体" w:hint="eastAsia"/>
          <w:color w:val="000000" w:themeColor="text1"/>
          <w:sz w:val="28"/>
          <w:szCs w:val="28"/>
        </w:rPr>
        <w:t>结合企业调研及多次专家论证，确定在途要求</w:t>
      </w:r>
      <w:r w:rsidR="009003D9">
        <w:rPr>
          <w:rFonts w:ascii="宋体" w:hAnsi="宋体" w:cs="宋体" w:hint="eastAsia"/>
          <w:color w:val="000000" w:themeColor="text1"/>
          <w:sz w:val="28"/>
          <w:szCs w:val="28"/>
        </w:rPr>
        <w:t>，</w:t>
      </w:r>
      <w:r w:rsidR="009003D9">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 xml:space="preserve">5.5 </w:t>
      </w:r>
      <w:r>
        <w:rPr>
          <w:rFonts w:ascii="宋体" w:hAnsi="宋体" w:cs="宋体" w:hint="eastAsia"/>
          <w:b/>
          <w:color w:val="000000" w:themeColor="text1"/>
          <w:sz w:val="28"/>
          <w:szCs w:val="28"/>
        </w:rPr>
        <w:t>倒短</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5.5.1</w:t>
      </w:r>
      <w:r>
        <w:rPr>
          <w:rFonts w:ascii="宋体" w:hAnsi="宋体" w:cs="宋体" w:hint="eastAsia"/>
          <w:color w:val="000000" w:themeColor="text1"/>
          <w:sz w:val="28"/>
          <w:szCs w:val="28"/>
        </w:rPr>
        <w:t>、</w:t>
      </w:r>
      <w:r>
        <w:rPr>
          <w:rFonts w:ascii="宋体" w:hAnsi="宋体" w:cs="宋体" w:hint="eastAsia"/>
          <w:color w:val="000000" w:themeColor="text1"/>
          <w:sz w:val="28"/>
          <w:szCs w:val="28"/>
        </w:rPr>
        <w:t>5.5.2</w:t>
      </w:r>
      <w:r>
        <w:rPr>
          <w:rFonts w:ascii="宋体" w:hAnsi="宋体" w:cs="宋体" w:hint="eastAsia"/>
          <w:color w:val="000000" w:themeColor="text1"/>
          <w:sz w:val="28"/>
          <w:szCs w:val="28"/>
        </w:rPr>
        <w:t>规定</w:t>
      </w:r>
      <w:proofErr w:type="gramStart"/>
      <w:r>
        <w:rPr>
          <w:rFonts w:ascii="宋体" w:hAnsi="宋体" w:cs="宋体" w:hint="eastAsia"/>
          <w:color w:val="000000" w:themeColor="text1"/>
          <w:sz w:val="28"/>
          <w:szCs w:val="28"/>
        </w:rPr>
        <w:t>了倒短过程</w:t>
      </w:r>
      <w:proofErr w:type="gramEnd"/>
      <w:r>
        <w:rPr>
          <w:rFonts w:ascii="宋体" w:hAnsi="宋体" w:cs="宋体" w:hint="eastAsia"/>
          <w:color w:val="000000" w:themeColor="text1"/>
          <w:sz w:val="28"/>
          <w:szCs w:val="28"/>
        </w:rPr>
        <w:t>中对货物的处理要求。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5.5.3</w:t>
      </w:r>
      <w:r>
        <w:rPr>
          <w:rFonts w:ascii="宋体" w:hAnsi="宋体" w:cs="宋体" w:hint="eastAsia"/>
          <w:color w:val="000000" w:themeColor="text1"/>
          <w:sz w:val="28"/>
          <w:szCs w:val="28"/>
        </w:rPr>
        <w:t>规定了送达前与收货方的沟通要求。</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7D376F" w:rsidRPr="007D376F">
        <w:rPr>
          <w:rFonts w:ascii="宋体" w:hAnsi="宋体" w:cs="宋体" w:hint="eastAsia"/>
          <w:color w:val="000000" w:themeColor="text1"/>
          <w:sz w:val="28"/>
          <w:szCs w:val="28"/>
        </w:rPr>
        <w:t>经过调研，</w:t>
      </w:r>
      <w:r w:rsidR="007D376F">
        <w:rPr>
          <w:rFonts w:ascii="宋体" w:hAnsi="宋体" w:cs="宋体" w:hint="eastAsia"/>
          <w:color w:val="000000" w:themeColor="text1"/>
          <w:sz w:val="28"/>
          <w:szCs w:val="28"/>
        </w:rPr>
        <w:t>当光伏产品需</w:t>
      </w:r>
      <w:proofErr w:type="gramStart"/>
      <w:r w:rsidR="007D376F">
        <w:rPr>
          <w:rFonts w:ascii="宋体" w:hAnsi="宋体" w:cs="宋体" w:hint="eastAsia"/>
          <w:color w:val="000000" w:themeColor="text1"/>
          <w:sz w:val="28"/>
          <w:szCs w:val="28"/>
        </w:rPr>
        <w:t>通过倒短</w:t>
      </w:r>
      <w:r w:rsidR="00750BA6">
        <w:rPr>
          <w:rFonts w:ascii="宋体" w:hAnsi="宋体" w:cs="宋体" w:hint="eastAsia"/>
          <w:color w:val="000000" w:themeColor="text1"/>
          <w:sz w:val="28"/>
          <w:szCs w:val="28"/>
        </w:rPr>
        <w:t>交付</w:t>
      </w:r>
      <w:proofErr w:type="gramEnd"/>
      <w:r w:rsidR="00750BA6">
        <w:rPr>
          <w:rFonts w:ascii="宋体" w:hAnsi="宋体" w:cs="宋体" w:hint="eastAsia"/>
          <w:color w:val="000000" w:themeColor="text1"/>
          <w:sz w:val="28"/>
          <w:szCs w:val="28"/>
        </w:rPr>
        <w:t>项目地时，需满足相关要求进行换车操作。本节</w:t>
      </w:r>
      <w:r>
        <w:rPr>
          <w:rFonts w:ascii="宋体" w:hAnsi="宋体" w:cs="宋体" w:hint="eastAsia"/>
          <w:color w:val="000000" w:themeColor="text1"/>
          <w:sz w:val="28"/>
          <w:szCs w:val="28"/>
        </w:rPr>
        <w:t>结合企业调研及多次专家论证，</w:t>
      </w:r>
      <w:proofErr w:type="gramStart"/>
      <w:r>
        <w:rPr>
          <w:rFonts w:ascii="宋体" w:hAnsi="宋体" w:cs="宋体" w:hint="eastAsia"/>
          <w:color w:val="000000" w:themeColor="text1"/>
          <w:sz w:val="28"/>
          <w:szCs w:val="28"/>
        </w:rPr>
        <w:t>确定倒短要求</w:t>
      </w:r>
      <w:proofErr w:type="gramEnd"/>
      <w:r w:rsidR="00750BA6">
        <w:rPr>
          <w:rFonts w:ascii="宋体" w:hAnsi="宋体" w:cs="宋体" w:hint="eastAsia"/>
          <w:color w:val="000000" w:themeColor="text1"/>
          <w:sz w:val="28"/>
          <w:szCs w:val="28"/>
        </w:rPr>
        <w:t>，</w:t>
      </w:r>
      <w:r w:rsidR="00750BA6">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Default="00422F2D">
      <w:pPr>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 xml:space="preserve">5.6 </w:t>
      </w:r>
      <w:r>
        <w:rPr>
          <w:rFonts w:ascii="宋体" w:hAnsi="宋体" w:cs="宋体" w:hint="eastAsia"/>
          <w:b/>
          <w:color w:val="000000" w:themeColor="text1"/>
          <w:sz w:val="28"/>
          <w:szCs w:val="28"/>
        </w:rPr>
        <w:t>交付</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条款</w:t>
      </w:r>
      <w:r>
        <w:rPr>
          <w:rFonts w:ascii="宋体" w:hAnsi="宋体" w:cs="宋体" w:hint="eastAsia"/>
          <w:color w:val="000000" w:themeColor="text1"/>
          <w:sz w:val="28"/>
          <w:szCs w:val="28"/>
        </w:rPr>
        <w:t>5.6.1</w:t>
      </w:r>
      <w:r>
        <w:rPr>
          <w:rFonts w:ascii="宋体" w:hAnsi="宋体" w:cs="宋体" w:hint="eastAsia"/>
          <w:color w:val="000000" w:themeColor="text1"/>
          <w:sz w:val="28"/>
          <w:szCs w:val="28"/>
        </w:rPr>
        <w:t>、</w:t>
      </w:r>
      <w:r>
        <w:rPr>
          <w:rFonts w:ascii="宋体" w:hAnsi="宋体" w:cs="宋体" w:hint="eastAsia"/>
          <w:color w:val="000000" w:themeColor="text1"/>
          <w:sz w:val="28"/>
          <w:szCs w:val="28"/>
        </w:rPr>
        <w:t>5.6.2</w:t>
      </w:r>
      <w:r>
        <w:rPr>
          <w:rFonts w:ascii="宋体" w:hAnsi="宋体" w:cs="宋体" w:hint="eastAsia"/>
          <w:color w:val="000000" w:themeColor="text1"/>
          <w:sz w:val="28"/>
          <w:szCs w:val="28"/>
        </w:rPr>
        <w:t>规定了交付时对收货方的服务要求。</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5.6.3</w:t>
      </w:r>
      <w:r>
        <w:rPr>
          <w:rFonts w:ascii="宋体" w:hAnsi="宋体" w:cs="宋体" w:hint="eastAsia"/>
          <w:color w:val="000000" w:themeColor="text1"/>
          <w:sz w:val="28"/>
          <w:szCs w:val="28"/>
        </w:rPr>
        <w:t>规定了货损的处理方式。</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5.6.4</w:t>
      </w:r>
      <w:r>
        <w:rPr>
          <w:rFonts w:ascii="宋体" w:hAnsi="宋体" w:cs="宋体" w:hint="eastAsia"/>
          <w:color w:val="000000" w:themeColor="text1"/>
          <w:sz w:val="28"/>
          <w:szCs w:val="28"/>
        </w:rPr>
        <w:t>规定了签收单上传要</w:t>
      </w:r>
      <w:r>
        <w:rPr>
          <w:rFonts w:ascii="宋体" w:hAnsi="宋体" w:cs="宋体" w:hint="eastAsia"/>
          <w:color w:val="000000" w:themeColor="text1"/>
          <w:sz w:val="28"/>
          <w:szCs w:val="28"/>
        </w:rPr>
        <w:t>求。</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22618D" w:rsidRPr="0022618D">
        <w:rPr>
          <w:rFonts w:ascii="宋体" w:hAnsi="宋体" w:cs="宋体" w:hint="eastAsia"/>
          <w:color w:val="000000" w:themeColor="text1"/>
          <w:sz w:val="28"/>
          <w:szCs w:val="28"/>
        </w:rPr>
        <w:t>本节</w:t>
      </w:r>
      <w:r>
        <w:rPr>
          <w:rFonts w:ascii="宋体" w:hAnsi="宋体" w:cs="宋体" w:hint="eastAsia"/>
          <w:color w:val="000000" w:themeColor="text1"/>
          <w:sz w:val="28"/>
          <w:szCs w:val="28"/>
        </w:rPr>
        <w:t>结合企业调研及多次专家论证，确定交付要求</w:t>
      </w:r>
      <w:r w:rsidR="0022618D">
        <w:rPr>
          <w:rFonts w:ascii="宋体" w:hAnsi="宋体" w:cs="宋体" w:hint="eastAsia"/>
          <w:color w:val="000000" w:themeColor="text1"/>
          <w:sz w:val="28"/>
          <w:szCs w:val="28"/>
        </w:rPr>
        <w:t>，</w:t>
      </w:r>
      <w:r w:rsidR="0022618D">
        <w:rPr>
          <w:rFonts w:ascii="宋体" w:hAnsi="宋体" w:cs="宋体" w:hint="eastAsia"/>
          <w:color w:val="000000" w:themeColor="text1"/>
          <w:sz w:val="28"/>
          <w:szCs w:val="28"/>
        </w:rPr>
        <w:t>调研名单详见附件1</w:t>
      </w:r>
      <w:r>
        <w:rPr>
          <w:rFonts w:ascii="宋体" w:hAnsi="宋体" w:cs="宋体" w:hint="eastAsia"/>
          <w:color w:val="000000" w:themeColor="text1"/>
          <w:sz w:val="28"/>
          <w:szCs w:val="28"/>
        </w:rPr>
        <w:t>。</w:t>
      </w:r>
    </w:p>
    <w:p w:rsidR="006B5288" w:rsidRPr="001079AB" w:rsidRDefault="00422F2D" w:rsidP="001079AB">
      <w:pPr>
        <w:spacing w:line="360" w:lineRule="auto"/>
        <w:ind w:firstLineChars="200" w:firstLine="562"/>
        <w:rPr>
          <w:rFonts w:ascii="宋体" w:hAnsi="宋体" w:cs="宋体"/>
          <w:b/>
          <w:color w:val="000000" w:themeColor="text1"/>
          <w:sz w:val="28"/>
          <w:szCs w:val="28"/>
        </w:rPr>
      </w:pPr>
      <w:r w:rsidRPr="001079AB">
        <w:rPr>
          <w:rFonts w:ascii="宋体" w:hAnsi="宋体" w:cs="宋体"/>
          <w:b/>
          <w:color w:val="000000" w:themeColor="text1"/>
          <w:sz w:val="28"/>
          <w:szCs w:val="28"/>
        </w:rPr>
        <w:t>6</w:t>
      </w:r>
      <w:r w:rsidRPr="001079AB">
        <w:rPr>
          <w:rFonts w:ascii="宋体" w:hAnsi="宋体" w:cs="宋体" w:hint="eastAsia"/>
          <w:b/>
          <w:color w:val="000000" w:themeColor="text1"/>
          <w:sz w:val="28"/>
          <w:szCs w:val="28"/>
        </w:rPr>
        <w:t xml:space="preserve"> </w:t>
      </w:r>
      <w:r w:rsidRPr="001079AB">
        <w:rPr>
          <w:rFonts w:ascii="宋体" w:hAnsi="宋体" w:cs="宋体" w:hint="eastAsia"/>
          <w:b/>
          <w:color w:val="000000" w:themeColor="text1"/>
          <w:sz w:val="28"/>
          <w:szCs w:val="28"/>
        </w:rPr>
        <w:t>服务评价与改进</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6.1</w:t>
      </w:r>
      <w:r>
        <w:rPr>
          <w:rFonts w:ascii="宋体" w:hAnsi="宋体" w:cs="宋体" w:hint="eastAsia"/>
          <w:color w:val="000000" w:themeColor="text1"/>
          <w:sz w:val="28"/>
          <w:szCs w:val="28"/>
        </w:rPr>
        <w:t>规定了提供光伏产品运输服务</w:t>
      </w:r>
      <w:r w:rsidR="00605CA7">
        <w:rPr>
          <w:rFonts w:ascii="宋体" w:hAnsi="宋体" w:cs="宋体" w:hint="eastAsia"/>
          <w:color w:val="000000" w:themeColor="text1"/>
          <w:sz w:val="28"/>
          <w:szCs w:val="28"/>
        </w:rPr>
        <w:t>的评价方式及评价</w:t>
      </w:r>
      <w:r>
        <w:rPr>
          <w:rFonts w:ascii="宋体" w:hAnsi="宋体" w:cs="宋体" w:hint="eastAsia"/>
          <w:color w:val="000000" w:themeColor="text1"/>
          <w:sz w:val="28"/>
          <w:szCs w:val="28"/>
        </w:rPr>
        <w:t>指标。</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条款</w:t>
      </w:r>
      <w:r>
        <w:rPr>
          <w:rFonts w:ascii="宋体" w:hAnsi="宋体" w:cs="宋体" w:hint="eastAsia"/>
          <w:color w:val="000000" w:themeColor="text1"/>
          <w:sz w:val="28"/>
          <w:szCs w:val="28"/>
        </w:rPr>
        <w:t>6.2</w:t>
      </w:r>
      <w:r>
        <w:rPr>
          <w:rFonts w:ascii="宋体" w:hAnsi="宋体" w:cs="宋体" w:hint="eastAsia"/>
          <w:color w:val="000000" w:themeColor="text1"/>
          <w:sz w:val="28"/>
          <w:szCs w:val="28"/>
        </w:rPr>
        <w:t>规定了服务改进要求。</w:t>
      </w:r>
    </w:p>
    <w:p w:rsidR="006B5288" w:rsidRDefault="00422F2D">
      <w:pPr>
        <w:spacing w:line="360" w:lineRule="auto"/>
        <w:ind w:firstLineChars="200" w:firstLine="562"/>
        <w:rPr>
          <w:rFonts w:ascii="宋体" w:hAnsi="宋体" w:cs="宋体"/>
          <w:color w:val="000000" w:themeColor="text1"/>
          <w:sz w:val="28"/>
          <w:szCs w:val="28"/>
        </w:rPr>
      </w:pPr>
      <w:r>
        <w:rPr>
          <w:rFonts w:ascii="宋体" w:hAnsi="宋体" w:cs="宋体" w:hint="eastAsia"/>
          <w:b/>
          <w:color w:val="000000" w:themeColor="text1"/>
          <w:sz w:val="28"/>
          <w:szCs w:val="28"/>
        </w:rPr>
        <w:t>确定依据：</w:t>
      </w:r>
      <w:r w:rsidR="00890161" w:rsidRPr="00890161">
        <w:rPr>
          <w:rFonts w:ascii="宋体" w:hAnsi="宋体" w:cs="宋体" w:hint="eastAsia"/>
          <w:color w:val="000000" w:themeColor="text1"/>
          <w:sz w:val="28"/>
          <w:szCs w:val="28"/>
        </w:rPr>
        <w:t>经过调研，</w:t>
      </w:r>
      <w:r w:rsidR="008F5CC1">
        <w:rPr>
          <w:rFonts w:ascii="宋体" w:hAnsi="宋体" w:cs="宋体" w:hint="eastAsia"/>
          <w:color w:val="000000" w:themeColor="text1"/>
          <w:sz w:val="28"/>
          <w:szCs w:val="28"/>
        </w:rPr>
        <w:t>光伏产品运输企业一般定期进行</w:t>
      </w:r>
      <w:proofErr w:type="gramStart"/>
      <w:r w:rsidR="008F5CC1">
        <w:rPr>
          <w:rFonts w:ascii="宋体" w:hAnsi="宋体" w:cs="宋体" w:hint="eastAsia"/>
          <w:color w:val="000000" w:themeColor="text1"/>
          <w:sz w:val="28"/>
          <w:szCs w:val="28"/>
        </w:rPr>
        <w:t>自评价</w:t>
      </w:r>
      <w:proofErr w:type="gramEnd"/>
      <w:r w:rsidR="008F5CC1">
        <w:rPr>
          <w:rFonts w:ascii="宋体" w:hAnsi="宋体" w:cs="宋体" w:hint="eastAsia"/>
          <w:color w:val="000000" w:themeColor="text1"/>
          <w:sz w:val="28"/>
          <w:szCs w:val="28"/>
        </w:rPr>
        <w:t>与客户评价，评价指标主要包括订单按时完成率、货损率、客户有效投诉率等，通过对指标的不断优化，从而不断提升服务质量。本节</w:t>
      </w:r>
      <w:r>
        <w:rPr>
          <w:rFonts w:ascii="宋体" w:hAnsi="宋体" w:cs="宋体" w:hint="eastAsia"/>
          <w:color w:val="000000" w:themeColor="text1"/>
          <w:sz w:val="28"/>
          <w:szCs w:val="28"/>
        </w:rPr>
        <w:t>结合企业调研及多次专家论证，确定服务评价与改进要求</w:t>
      </w:r>
      <w:r w:rsidR="008F5CC1">
        <w:rPr>
          <w:rFonts w:ascii="宋体" w:hAnsi="宋体" w:cs="宋体" w:hint="eastAsia"/>
          <w:color w:val="000000" w:themeColor="text1"/>
          <w:sz w:val="28"/>
          <w:szCs w:val="28"/>
        </w:rPr>
        <w:t>，</w:t>
      </w:r>
      <w:r w:rsidR="008F5CC1">
        <w:rPr>
          <w:rFonts w:ascii="宋体" w:hAnsi="宋体" w:cs="宋体" w:hint="eastAsia"/>
          <w:color w:val="000000" w:themeColor="text1"/>
          <w:sz w:val="28"/>
          <w:szCs w:val="28"/>
        </w:rPr>
        <w:t>调研名单详见附件1</w:t>
      </w:r>
      <w:bookmarkStart w:id="0" w:name="_GoBack"/>
      <w:bookmarkEnd w:id="0"/>
      <w:r>
        <w:rPr>
          <w:rFonts w:ascii="宋体" w:hAnsi="宋体" w:cs="宋体" w:hint="eastAsia"/>
          <w:color w:val="000000" w:themeColor="text1"/>
          <w:sz w:val="28"/>
          <w:szCs w:val="28"/>
        </w:rPr>
        <w:t>。</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六、重大意见分歧的处理经过和依据</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无。</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七、采标情况</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无。</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八、与现行法律、法规和强制性国家标准的关系</w:t>
      </w:r>
    </w:p>
    <w:p w:rsidR="006B5288" w:rsidRDefault="00422F2D">
      <w:pPr>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本标准符合现行相关法律、法规的规定，与现有标准和制定中的标准，特别是强制性标准无冲突之处。</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九、宣贯及实施建议</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企业是标准实施的主体，为促进各相关企业理解标准内容，规范</w:t>
      </w:r>
      <w:r>
        <w:rPr>
          <w:rFonts w:ascii="宋体" w:hAnsi="宋体" w:cs="宋体" w:hint="eastAsia"/>
          <w:color w:val="000000" w:themeColor="text1"/>
          <w:sz w:val="28"/>
          <w:szCs w:val="28"/>
        </w:rPr>
        <w:lastRenderedPageBreak/>
        <w:t>光伏产品运输服务，提升企业管理水平和服务能力，加强行业自律，标准发布后，后续工作将通过宣贯培训、试点示范等形式来推动标准的落地实施。</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（一）开展标准宣贯</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依托行业活动和通过媒体宣传，解读标准的主要技术内容，宣传标准应用情况，促进社会各界理解和应用标准，扩大标准影响的覆盖面。</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（二）开展相关培训</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针对光伏产品运输服务企业开展相关标准培训，包括专题培训、论坛等，深入讲解光伏产品运输服务的相关要求。</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（三）推进产业</w:t>
      </w:r>
      <w:proofErr w:type="gramStart"/>
      <w:r>
        <w:rPr>
          <w:rFonts w:ascii="宋体" w:hAnsi="宋体" w:cs="宋体" w:hint="eastAsia"/>
          <w:color w:val="000000" w:themeColor="text1"/>
          <w:sz w:val="28"/>
          <w:szCs w:val="28"/>
        </w:rPr>
        <w:t>链客户</w:t>
      </w:r>
      <w:proofErr w:type="gramEnd"/>
      <w:r>
        <w:rPr>
          <w:rFonts w:ascii="宋体" w:hAnsi="宋体" w:cs="宋体" w:hint="eastAsia"/>
          <w:color w:val="000000" w:themeColor="text1"/>
          <w:sz w:val="28"/>
          <w:szCs w:val="28"/>
        </w:rPr>
        <w:t>对标准的应用</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通过起草单位带动产业</w:t>
      </w:r>
      <w:proofErr w:type="gramStart"/>
      <w:r>
        <w:rPr>
          <w:rFonts w:ascii="宋体" w:hAnsi="宋体" w:cs="宋体" w:hint="eastAsia"/>
          <w:color w:val="000000" w:themeColor="text1"/>
          <w:sz w:val="28"/>
          <w:szCs w:val="28"/>
        </w:rPr>
        <w:t>链客</w:t>
      </w:r>
      <w:r>
        <w:rPr>
          <w:rFonts w:ascii="宋体" w:hAnsi="宋体" w:cs="宋体" w:hint="eastAsia"/>
          <w:color w:val="000000" w:themeColor="text1"/>
          <w:sz w:val="28"/>
          <w:szCs w:val="28"/>
        </w:rPr>
        <w:t>户</w:t>
      </w:r>
      <w:proofErr w:type="gramEnd"/>
      <w:r>
        <w:rPr>
          <w:rFonts w:ascii="宋体" w:hAnsi="宋体" w:cs="宋体" w:hint="eastAsia"/>
          <w:color w:val="000000" w:themeColor="text1"/>
          <w:sz w:val="28"/>
          <w:szCs w:val="28"/>
        </w:rPr>
        <w:t>实施和应用标准，同时在行业企业内大力推广，促进更多的光伏产品上下游企业应用本标准，提升运输质量和效率。</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（四）开展标准实施效果的评价和总结</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定期对标准的宣贯推广情况、标准实施的社会及经济效益情况等进行总结梳理，总结形成相关报告，对后续标准的推广实施和修订奠定基础。</w:t>
      </w:r>
    </w:p>
    <w:p w:rsidR="006B5288" w:rsidRDefault="00422F2D">
      <w:pPr>
        <w:spacing w:line="360" w:lineRule="auto"/>
        <w:ind w:firstLineChars="200" w:firstLine="560"/>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十、其他应予说明的事项</w:t>
      </w:r>
    </w:p>
    <w:p w:rsidR="006B5288" w:rsidRDefault="00422F2D">
      <w:pPr>
        <w:spacing w:line="360" w:lineRule="auto"/>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无。</w:t>
      </w:r>
    </w:p>
    <w:p w:rsidR="006B5288" w:rsidRDefault="006B5288">
      <w:pPr>
        <w:spacing w:line="360" w:lineRule="auto"/>
        <w:jc w:val="left"/>
        <w:rPr>
          <w:rFonts w:ascii="仿宋" w:eastAsia="仿宋" w:hAnsi="仿宋" w:cs="仿宋"/>
          <w:sz w:val="24"/>
          <w:szCs w:val="24"/>
        </w:rPr>
      </w:pPr>
    </w:p>
    <w:p w:rsidR="006B5288" w:rsidRDefault="006B5288">
      <w:pPr>
        <w:spacing w:line="360" w:lineRule="auto"/>
        <w:jc w:val="left"/>
        <w:rPr>
          <w:rFonts w:ascii="仿宋" w:eastAsia="仿宋" w:hAnsi="仿宋" w:cs="仿宋"/>
          <w:sz w:val="24"/>
          <w:szCs w:val="24"/>
        </w:rPr>
      </w:pPr>
    </w:p>
    <w:p w:rsidR="006B5288" w:rsidRDefault="00422F2D">
      <w:pPr>
        <w:spacing w:line="360" w:lineRule="auto"/>
        <w:ind w:firstLineChars="200" w:firstLine="480"/>
        <w:jc w:val="right"/>
        <w:rPr>
          <w:rFonts w:ascii="黑体" w:eastAsia="黑体" w:hAnsi="黑体" w:cs="仿宋"/>
          <w:sz w:val="24"/>
          <w:szCs w:val="24"/>
        </w:rPr>
      </w:pPr>
      <w:r>
        <w:rPr>
          <w:rFonts w:ascii="黑体" w:eastAsia="黑体" w:hAnsi="黑体" w:cs="仿宋" w:hint="eastAsia"/>
          <w:sz w:val="24"/>
          <w:szCs w:val="24"/>
        </w:rPr>
        <w:t>《光伏产品运输服务规范》团体标准起草组</w:t>
      </w:r>
    </w:p>
    <w:p w:rsidR="006B5288" w:rsidRDefault="00422F2D">
      <w:pPr>
        <w:spacing w:line="360" w:lineRule="auto"/>
        <w:ind w:firstLineChars="200" w:firstLine="480"/>
        <w:jc w:val="right"/>
        <w:rPr>
          <w:rFonts w:ascii="仿宋" w:eastAsia="仿宋" w:hAnsi="仿宋" w:cs="仿宋"/>
          <w:sz w:val="24"/>
          <w:szCs w:val="24"/>
        </w:rPr>
      </w:pPr>
      <w:r>
        <w:rPr>
          <w:rFonts w:ascii="黑体" w:eastAsia="黑体" w:hAnsi="黑体" w:cs="仿宋" w:hint="eastAsia"/>
          <w:sz w:val="24"/>
          <w:szCs w:val="24"/>
        </w:rPr>
        <w:lastRenderedPageBreak/>
        <w:t>2023</w:t>
      </w:r>
      <w:r>
        <w:rPr>
          <w:rFonts w:ascii="黑体" w:eastAsia="黑体" w:hAnsi="黑体" w:cs="仿宋" w:hint="eastAsia"/>
          <w:sz w:val="24"/>
          <w:szCs w:val="24"/>
        </w:rPr>
        <w:t>年</w:t>
      </w:r>
      <w:r>
        <w:rPr>
          <w:rFonts w:ascii="黑体" w:eastAsia="黑体" w:hAnsi="黑体" w:cs="仿宋" w:hint="eastAsia"/>
          <w:sz w:val="24"/>
          <w:szCs w:val="24"/>
        </w:rPr>
        <w:t>1</w:t>
      </w:r>
      <w:r>
        <w:rPr>
          <w:rFonts w:ascii="黑体" w:eastAsia="黑体" w:hAnsi="黑体" w:cs="仿宋" w:hint="eastAsia"/>
          <w:sz w:val="24"/>
          <w:szCs w:val="24"/>
        </w:rPr>
        <w:t>月</w:t>
      </w:r>
      <w:r>
        <w:rPr>
          <w:rFonts w:ascii="黑体" w:eastAsia="黑体" w:hAnsi="黑体" w:cs="仿宋" w:hint="eastAsia"/>
          <w:sz w:val="24"/>
          <w:szCs w:val="24"/>
        </w:rPr>
        <w:t>15</w:t>
      </w:r>
      <w:r>
        <w:rPr>
          <w:rFonts w:ascii="黑体" w:eastAsia="黑体" w:hAnsi="黑体" w:cs="仿宋" w:hint="eastAsia"/>
          <w:sz w:val="24"/>
          <w:szCs w:val="24"/>
        </w:rPr>
        <w:t>日</w:t>
      </w:r>
      <w:r>
        <w:rPr>
          <w:rFonts w:ascii="仿宋" w:eastAsia="仿宋" w:hAnsi="仿宋" w:cs="仿宋"/>
          <w:sz w:val="24"/>
          <w:szCs w:val="24"/>
        </w:rPr>
        <w:br w:type="page"/>
      </w:r>
    </w:p>
    <w:p w:rsidR="006B5288" w:rsidRDefault="00422F2D">
      <w:pPr>
        <w:spacing w:line="360" w:lineRule="auto"/>
        <w:ind w:firstLineChars="200" w:firstLine="560"/>
        <w:jc w:val="left"/>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lastRenderedPageBreak/>
        <w:t>附件</w:t>
      </w:r>
      <w:r>
        <w:rPr>
          <w:rFonts w:ascii="黑体" w:eastAsia="黑体" w:hAnsi="黑体" w:cs="黑体" w:hint="eastAsia"/>
          <w:color w:val="000000" w:themeColor="text1"/>
          <w:sz w:val="28"/>
          <w:szCs w:val="28"/>
        </w:rPr>
        <w:t>1</w:t>
      </w:r>
      <w:r>
        <w:rPr>
          <w:rFonts w:ascii="黑体" w:eastAsia="黑体" w:hAnsi="黑体" w:cs="黑体" w:hint="eastAsia"/>
          <w:color w:val="000000" w:themeColor="text1"/>
          <w:sz w:val="28"/>
          <w:szCs w:val="28"/>
        </w:rPr>
        <w:t>：</w:t>
      </w:r>
    </w:p>
    <w:p w:rsidR="006B5288" w:rsidRDefault="00422F2D">
      <w:pPr>
        <w:spacing w:line="360" w:lineRule="auto"/>
        <w:jc w:val="center"/>
        <w:rPr>
          <w:rFonts w:ascii="黑体" w:eastAsia="黑体" w:hAnsi="黑体" w:cs="黑体"/>
          <w:color w:val="000000" w:themeColor="text1"/>
          <w:sz w:val="28"/>
          <w:szCs w:val="28"/>
        </w:rPr>
      </w:pPr>
      <w:r>
        <w:rPr>
          <w:rFonts w:ascii="黑体" w:eastAsia="黑体" w:hAnsi="黑体" w:cs="黑体" w:hint="eastAsia"/>
          <w:color w:val="000000" w:themeColor="text1"/>
          <w:sz w:val="28"/>
          <w:szCs w:val="28"/>
        </w:rPr>
        <w:t>调研企业名单</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9"/>
        <w:gridCol w:w="864"/>
        <w:gridCol w:w="1262"/>
        <w:gridCol w:w="1134"/>
        <w:gridCol w:w="1326"/>
      </w:tblGrid>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序号</w:t>
            </w:r>
          </w:p>
        </w:tc>
        <w:tc>
          <w:tcPr>
            <w:tcW w:w="3119"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企业名称</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联系人</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联系方式</w:t>
            </w:r>
          </w:p>
        </w:tc>
        <w:tc>
          <w:tcPr>
            <w:tcW w:w="1134" w:type="dxa"/>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调研时间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b/>
                <w:bCs/>
                <w:color w:val="000000"/>
                <w:kern w:val="0"/>
                <w:sz w:val="18"/>
                <w:szCs w:val="18"/>
              </w:rPr>
            </w:pPr>
            <w:r>
              <w:rPr>
                <w:rFonts w:asciiTheme="minorEastAsia" w:eastAsiaTheme="minorEastAsia" w:hAnsiTheme="minorEastAsia" w:cs="仿宋" w:hint="eastAsia"/>
                <w:b/>
                <w:bCs/>
                <w:color w:val="000000"/>
                <w:kern w:val="0"/>
                <w:sz w:val="18"/>
                <w:szCs w:val="18"/>
              </w:rPr>
              <w:t>调研方式</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1</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隆</w:t>
            </w:r>
            <w:proofErr w:type="gramStart"/>
            <w:r>
              <w:rPr>
                <w:rFonts w:asciiTheme="minorEastAsia" w:eastAsiaTheme="minorEastAsia" w:hAnsiTheme="minorEastAsia" w:cs="仿宋" w:hint="eastAsia"/>
                <w:sz w:val="18"/>
                <w:szCs w:val="18"/>
              </w:rPr>
              <w:t>基绿能科技</w:t>
            </w:r>
            <w:proofErr w:type="gramEnd"/>
            <w:r>
              <w:rPr>
                <w:rFonts w:asciiTheme="minorEastAsia" w:eastAsiaTheme="minorEastAsia" w:hAnsiTheme="minorEastAsia" w:cs="仿宋" w:hint="eastAsia"/>
                <w:sz w:val="18"/>
                <w:szCs w:val="18"/>
              </w:rPr>
              <w:t>股份有限公司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黄国栋</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17853149611</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线下、线上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中国邮政速递物流股份有限公司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谢超</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color w:val="000000"/>
                <w:kern w:val="0"/>
                <w:sz w:val="18"/>
                <w:szCs w:val="18"/>
              </w:rPr>
              <w:t>18611199080</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3</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深圳顺丰泰森控股（集团）有限公司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高国庆</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color w:val="000000"/>
                <w:kern w:val="0"/>
                <w:sz w:val="18"/>
                <w:szCs w:val="18"/>
              </w:rPr>
              <w:t>18769442592</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线下、线上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4</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proofErr w:type="gramStart"/>
            <w:r>
              <w:rPr>
                <w:rFonts w:asciiTheme="minorEastAsia" w:eastAsiaTheme="minorEastAsia" w:hAnsiTheme="minorEastAsia" w:cs="仿宋" w:hint="eastAsia"/>
                <w:sz w:val="18"/>
                <w:szCs w:val="18"/>
              </w:rPr>
              <w:t>国网天津市电力公司物资公司</w:t>
            </w:r>
            <w:proofErr w:type="gramEnd"/>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杨震涛</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color w:val="000000"/>
                <w:kern w:val="0"/>
                <w:sz w:val="18"/>
                <w:szCs w:val="18"/>
              </w:rPr>
              <w:t>13920259169</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线下、线上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5</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智运天下</w:t>
            </w:r>
            <w:r>
              <w:rPr>
                <w:rFonts w:asciiTheme="minorEastAsia" w:eastAsiaTheme="minorEastAsia" w:hAnsiTheme="minorEastAsia" w:cs="仿宋" w:hint="eastAsia"/>
                <w:sz w:val="18"/>
                <w:szCs w:val="18"/>
              </w:rPr>
              <w:t>(</w:t>
            </w:r>
            <w:r>
              <w:rPr>
                <w:rFonts w:asciiTheme="minorEastAsia" w:eastAsiaTheme="minorEastAsia" w:hAnsiTheme="minorEastAsia" w:cs="仿宋" w:hint="eastAsia"/>
                <w:sz w:val="18"/>
                <w:szCs w:val="18"/>
              </w:rPr>
              <w:t>上海</w:t>
            </w:r>
            <w:r>
              <w:rPr>
                <w:rFonts w:asciiTheme="minorEastAsia" w:eastAsiaTheme="minorEastAsia" w:hAnsiTheme="minorEastAsia" w:cs="仿宋" w:hint="eastAsia"/>
                <w:sz w:val="18"/>
                <w:szCs w:val="18"/>
              </w:rPr>
              <w:t>)</w:t>
            </w:r>
            <w:r>
              <w:rPr>
                <w:rFonts w:asciiTheme="minorEastAsia" w:eastAsiaTheme="minorEastAsia" w:hAnsiTheme="minorEastAsia" w:cs="仿宋" w:hint="eastAsia"/>
                <w:sz w:val="18"/>
                <w:szCs w:val="18"/>
              </w:rPr>
              <w:t>科技有限公司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proofErr w:type="gramStart"/>
            <w:r>
              <w:rPr>
                <w:rFonts w:asciiTheme="minorEastAsia" w:eastAsiaTheme="minorEastAsia" w:hAnsiTheme="minorEastAsia" w:cs="仿宋" w:hint="eastAsia"/>
                <w:color w:val="000000"/>
                <w:kern w:val="0"/>
                <w:sz w:val="18"/>
                <w:szCs w:val="18"/>
              </w:rPr>
              <w:t>董栋</w:t>
            </w:r>
            <w:proofErr w:type="gramEnd"/>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18053203306</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线下、线上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6</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sz w:val="18"/>
                <w:szCs w:val="18"/>
              </w:rPr>
            </w:pPr>
            <w:r>
              <w:rPr>
                <w:rFonts w:asciiTheme="minorEastAsia" w:eastAsiaTheme="minorEastAsia" w:hAnsiTheme="minorEastAsia" w:cs="仿宋" w:hint="eastAsia"/>
                <w:sz w:val="18"/>
                <w:szCs w:val="18"/>
              </w:rPr>
              <w:t>晶澳（扬州）新能源有限公司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谢雨廷</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18763001805</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线下、线上</w:t>
            </w:r>
          </w:p>
        </w:tc>
      </w:tr>
      <w:tr w:rsidR="006B5288">
        <w:trPr>
          <w:trHeight w:val="441"/>
        </w:trPr>
        <w:tc>
          <w:tcPr>
            <w:tcW w:w="709"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7</w:t>
            </w:r>
          </w:p>
        </w:tc>
        <w:tc>
          <w:tcPr>
            <w:tcW w:w="3119" w:type="dxa"/>
            <w:shd w:val="clear" w:color="auto" w:fill="auto"/>
            <w:noWrap/>
            <w:vAlign w:val="center"/>
          </w:tcPr>
          <w:p w:rsidR="006B5288" w:rsidRDefault="00422F2D">
            <w:pPr>
              <w:widowControl/>
              <w:tabs>
                <w:tab w:val="left" w:pos="540"/>
              </w:tabs>
              <w:contextualSpacing/>
              <w:jc w:val="left"/>
              <w:rPr>
                <w:rFonts w:asciiTheme="minorEastAsia" w:eastAsiaTheme="minorEastAsia" w:hAnsiTheme="minorEastAsia" w:cs="仿宋"/>
                <w:color w:val="000000"/>
                <w:sz w:val="18"/>
                <w:szCs w:val="18"/>
              </w:rPr>
            </w:pPr>
            <w:r>
              <w:rPr>
                <w:rFonts w:asciiTheme="minorEastAsia" w:eastAsiaTheme="minorEastAsia" w:hAnsiTheme="minorEastAsia" w:cs="仿宋" w:hint="eastAsia"/>
                <w:color w:val="000000"/>
                <w:sz w:val="18"/>
                <w:szCs w:val="18"/>
              </w:rPr>
              <w:t>圆通速递股份有限公司</w:t>
            </w:r>
          </w:p>
        </w:tc>
        <w:tc>
          <w:tcPr>
            <w:tcW w:w="864"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孙建英</w:t>
            </w:r>
          </w:p>
        </w:tc>
        <w:tc>
          <w:tcPr>
            <w:tcW w:w="1262"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color w:val="000000"/>
                <w:kern w:val="0"/>
                <w:sz w:val="18"/>
                <w:szCs w:val="18"/>
              </w:rPr>
              <w:t>15021896357</w:t>
            </w:r>
          </w:p>
        </w:tc>
        <w:tc>
          <w:tcPr>
            <w:tcW w:w="1134" w:type="dxa"/>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2022</w:t>
            </w:r>
            <w:r>
              <w:rPr>
                <w:rFonts w:asciiTheme="minorEastAsia" w:eastAsiaTheme="minorEastAsia" w:hAnsiTheme="minorEastAsia" w:cs="仿宋" w:hint="eastAsia"/>
                <w:color w:val="000000"/>
                <w:kern w:val="0"/>
                <w:sz w:val="18"/>
                <w:szCs w:val="18"/>
              </w:rPr>
              <w:t>年</w:t>
            </w:r>
          </w:p>
        </w:tc>
        <w:tc>
          <w:tcPr>
            <w:tcW w:w="1326" w:type="dxa"/>
            <w:shd w:val="clear" w:color="auto" w:fill="auto"/>
            <w:noWrap/>
            <w:vAlign w:val="center"/>
          </w:tcPr>
          <w:p w:rsidR="006B5288" w:rsidRDefault="00422F2D">
            <w:pPr>
              <w:widowControl/>
              <w:spacing w:line="360" w:lineRule="auto"/>
              <w:jc w:val="center"/>
              <w:rPr>
                <w:rFonts w:asciiTheme="minorEastAsia" w:eastAsiaTheme="minorEastAsia" w:hAnsiTheme="minorEastAsia" w:cs="仿宋"/>
                <w:color w:val="000000"/>
                <w:kern w:val="0"/>
                <w:sz w:val="18"/>
                <w:szCs w:val="18"/>
              </w:rPr>
            </w:pPr>
            <w:r>
              <w:rPr>
                <w:rFonts w:asciiTheme="minorEastAsia" w:eastAsiaTheme="minorEastAsia" w:hAnsiTheme="minorEastAsia" w:cs="仿宋" w:hint="eastAsia"/>
                <w:color w:val="000000"/>
                <w:kern w:val="0"/>
                <w:sz w:val="18"/>
                <w:szCs w:val="18"/>
              </w:rPr>
              <w:t>线上</w:t>
            </w:r>
          </w:p>
        </w:tc>
      </w:tr>
    </w:tbl>
    <w:p w:rsidR="006B5288" w:rsidRDefault="006B5288">
      <w:pPr>
        <w:spacing w:line="360" w:lineRule="auto"/>
        <w:ind w:firstLineChars="200" w:firstLine="480"/>
        <w:jc w:val="center"/>
        <w:rPr>
          <w:rFonts w:ascii="宋体" w:hAnsi="宋体" w:cs="宋体"/>
          <w:sz w:val="24"/>
          <w:szCs w:val="24"/>
        </w:rPr>
      </w:pPr>
    </w:p>
    <w:sectPr w:rsidR="006B528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6213F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4B56"/>
    <w:multiLevelType w:val="singleLevel"/>
    <w:tmpl w:val="04EC4B56"/>
    <w:lvl w:ilvl="0">
      <w:start w:val="1"/>
      <w:numFmt w:val="decimal"/>
      <w:lvlText w:val="%1."/>
      <w:lvlJc w:val="left"/>
      <w:pPr>
        <w:ind w:left="425" w:hanging="425"/>
      </w:pPr>
      <w:rPr>
        <w:rFonts w:hint="default"/>
      </w:rPr>
    </w:lvl>
  </w:abstractNum>
  <w:abstractNum w:abstractNumId="1">
    <w:nsid w:val="1FC91163"/>
    <w:multiLevelType w:val="multilevel"/>
    <w:tmpl w:val="1FC91163"/>
    <w:lvl w:ilvl="0">
      <w:start w:val="1"/>
      <w:numFmt w:val="decimal"/>
      <w:pStyle w:val="a"/>
      <w:suff w:val="nothing"/>
      <w:lvlText w:val="%1　"/>
      <w:lvlJc w:val="left"/>
      <w:pPr>
        <w:ind w:left="283" w:firstLine="0"/>
      </w:pPr>
      <w:rPr>
        <w:rFonts w:ascii="黑体" w:eastAsia="黑体" w:hAnsi="Times New Roman" w:hint="eastAsia"/>
        <w:b w:val="0"/>
        <w:i w:val="0"/>
        <w:sz w:val="21"/>
        <w:szCs w:val="21"/>
      </w:rPr>
    </w:lvl>
    <w:lvl w:ilvl="1">
      <w:start w:val="1"/>
      <w:numFmt w:val="decimal"/>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0"/>
      <w:suff w:val="nothing"/>
      <w:lvlText w:val="%1.%2.%3　"/>
      <w:lvlJc w:val="left"/>
      <w:pPr>
        <w:ind w:left="1560" w:firstLine="0"/>
      </w:pPr>
      <w:rPr>
        <w:rFonts w:ascii="黑体" w:eastAsia="黑体" w:hAnsi="Times New Roman" w:hint="eastAsia"/>
        <w:b w:val="0"/>
        <w:i w:val="0"/>
        <w:sz w:val="21"/>
      </w:rPr>
    </w:lvl>
    <w:lvl w:ilvl="3">
      <w:start w:val="1"/>
      <w:numFmt w:val="decimal"/>
      <w:suff w:val="nothing"/>
      <w:lvlText w:val="%1.%2.%3.%4　"/>
      <w:lvlJc w:val="left"/>
      <w:pPr>
        <w:ind w:left="24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2"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4"/>
      <w:suff w:val="nothing"/>
      <w:lvlText w:val="%1%2.%3.%4　"/>
      <w:lvlJc w:val="left"/>
      <w:pPr>
        <w:ind w:left="0" w:firstLine="0"/>
      </w:pPr>
      <w:rPr>
        <w:rFonts w:ascii="黑体" w:eastAsia="黑体" w:hint="eastAsia"/>
        <w:b w:val="0"/>
        <w:i w:val="0"/>
        <w:sz w:val="21"/>
      </w:rPr>
    </w:lvl>
    <w:lvl w:ilvl="4">
      <w:start w:val="1"/>
      <w:numFmt w:val="decimal"/>
      <w:pStyle w:val="a5"/>
      <w:suff w:val="nothing"/>
      <w:lvlText w:val="%1%2.%3.%4.%5　"/>
      <w:lvlJc w:val="left"/>
      <w:pPr>
        <w:ind w:left="0" w:firstLine="0"/>
      </w:pPr>
      <w:rPr>
        <w:rFonts w:ascii="黑体" w:eastAsia="黑体" w:hint="eastAsia"/>
        <w:b w:val="0"/>
        <w:i w:val="0"/>
        <w:sz w:val="21"/>
      </w:rPr>
    </w:lvl>
    <w:lvl w:ilvl="5">
      <w:start w:val="1"/>
      <w:numFmt w:val="decimal"/>
      <w:pStyle w:val="a6"/>
      <w:suff w:val="nothing"/>
      <w:lvlText w:val="%1%2.%3.%4.%5.%6　"/>
      <w:lvlJc w:val="left"/>
      <w:pPr>
        <w:ind w:left="0" w:firstLine="0"/>
      </w:pPr>
      <w:rPr>
        <w:rFonts w:ascii="黑体" w:eastAsia="黑体" w:hint="eastAsia"/>
        <w:b w:val="0"/>
        <w:i w:val="0"/>
        <w:sz w:val="21"/>
      </w:rPr>
    </w:lvl>
    <w:lvl w:ilvl="6">
      <w:start w:val="1"/>
      <w:numFmt w:val="decimal"/>
      <w:pStyle w:val="a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蕾">
    <w15:presenceInfo w15:providerId="WPS Office" w15:userId="2896428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zU2NjY2ZmYxOWNmMWYyMWI1NTQ1OGQ4MDQ5ZjcifQ=="/>
  </w:docVars>
  <w:rsids>
    <w:rsidRoot w:val="00D62023"/>
    <w:rsid w:val="000143BD"/>
    <w:rsid w:val="0001703E"/>
    <w:rsid w:val="00022617"/>
    <w:rsid w:val="000338EB"/>
    <w:rsid w:val="0003434C"/>
    <w:rsid w:val="00037642"/>
    <w:rsid w:val="00047FC2"/>
    <w:rsid w:val="00052AB9"/>
    <w:rsid w:val="00065586"/>
    <w:rsid w:val="00065F5E"/>
    <w:rsid w:val="00066EED"/>
    <w:rsid w:val="000829B6"/>
    <w:rsid w:val="00094AEF"/>
    <w:rsid w:val="0009690E"/>
    <w:rsid w:val="000A5BBD"/>
    <w:rsid w:val="000C1D0E"/>
    <w:rsid w:val="000D3D9D"/>
    <w:rsid w:val="001074FA"/>
    <w:rsid w:val="001079AB"/>
    <w:rsid w:val="00123781"/>
    <w:rsid w:val="001255E0"/>
    <w:rsid w:val="00185B10"/>
    <w:rsid w:val="001865F0"/>
    <w:rsid w:val="001A17ED"/>
    <w:rsid w:val="001A6AFF"/>
    <w:rsid w:val="001C407A"/>
    <w:rsid w:val="001C7B4D"/>
    <w:rsid w:val="001D0880"/>
    <w:rsid w:val="001F5815"/>
    <w:rsid w:val="00204904"/>
    <w:rsid w:val="00205758"/>
    <w:rsid w:val="002101FB"/>
    <w:rsid w:val="00213DED"/>
    <w:rsid w:val="00223D62"/>
    <w:rsid w:val="0022618D"/>
    <w:rsid w:val="0024747F"/>
    <w:rsid w:val="00247C60"/>
    <w:rsid w:val="00265381"/>
    <w:rsid w:val="00270DB6"/>
    <w:rsid w:val="0028419A"/>
    <w:rsid w:val="002946E3"/>
    <w:rsid w:val="002C6CA6"/>
    <w:rsid w:val="002C78ED"/>
    <w:rsid w:val="002F733C"/>
    <w:rsid w:val="003017DF"/>
    <w:rsid w:val="00302185"/>
    <w:rsid w:val="0032748D"/>
    <w:rsid w:val="00333CF5"/>
    <w:rsid w:val="00337F52"/>
    <w:rsid w:val="003551DE"/>
    <w:rsid w:val="00366E9E"/>
    <w:rsid w:val="00376368"/>
    <w:rsid w:val="00384007"/>
    <w:rsid w:val="003929A7"/>
    <w:rsid w:val="00393A2E"/>
    <w:rsid w:val="00393BEF"/>
    <w:rsid w:val="00396295"/>
    <w:rsid w:val="0039658C"/>
    <w:rsid w:val="0039707A"/>
    <w:rsid w:val="003B6D71"/>
    <w:rsid w:val="003D08D6"/>
    <w:rsid w:val="003E1CA4"/>
    <w:rsid w:val="00401D7D"/>
    <w:rsid w:val="0041096A"/>
    <w:rsid w:val="00417A37"/>
    <w:rsid w:val="00422F2D"/>
    <w:rsid w:val="00474E8D"/>
    <w:rsid w:val="00477E02"/>
    <w:rsid w:val="00484651"/>
    <w:rsid w:val="004A6227"/>
    <w:rsid w:val="004B176D"/>
    <w:rsid w:val="004C1DEF"/>
    <w:rsid w:val="004C642E"/>
    <w:rsid w:val="004D0F73"/>
    <w:rsid w:val="004E3140"/>
    <w:rsid w:val="004F6773"/>
    <w:rsid w:val="00500FC1"/>
    <w:rsid w:val="005075E8"/>
    <w:rsid w:val="00512F34"/>
    <w:rsid w:val="0052054B"/>
    <w:rsid w:val="0055532A"/>
    <w:rsid w:val="00565B1F"/>
    <w:rsid w:val="0057203D"/>
    <w:rsid w:val="00576090"/>
    <w:rsid w:val="005771DE"/>
    <w:rsid w:val="00591949"/>
    <w:rsid w:val="005A0ABC"/>
    <w:rsid w:val="005B508F"/>
    <w:rsid w:val="005F0E9D"/>
    <w:rsid w:val="00605CA7"/>
    <w:rsid w:val="00631BB3"/>
    <w:rsid w:val="0063318F"/>
    <w:rsid w:val="00644359"/>
    <w:rsid w:val="00654882"/>
    <w:rsid w:val="00657E21"/>
    <w:rsid w:val="0066478B"/>
    <w:rsid w:val="006805D9"/>
    <w:rsid w:val="00694B77"/>
    <w:rsid w:val="006B5288"/>
    <w:rsid w:val="006B6654"/>
    <w:rsid w:val="006D2CA1"/>
    <w:rsid w:val="006D63E6"/>
    <w:rsid w:val="006E04A8"/>
    <w:rsid w:val="006E13A1"/>
    <w:rsid w:val="006F3975"/>
    <w:rsid w:val="006F6CA2"/>
    <w:rsid w:val="00701C32"/>
    <w:rsid w:val="0070334F"/>
    <w:rsid w:val="007068CF"/>
    <w:rsid w:val="00737F05"/>
    <w:rsid w:val="00740CAE"/>
    <w:rsid w:val="00750BA6"/>
    <w:rsid w:val="00751EC7"/>
    <w:rsid w:val="00755812"/>
    <w:rsid w:val="00774FB3"/>
    <w:rsid w:val="00784482"/>
    <w:rsid w:val="007A438D"/>
    <w:rsid w:val="007A5345"/>
    <w:rsid w:val="007C4D79"/>
    <w:rsid w:val="007D1B48"/>
    <w:rsid w:val="007D376F"/>
    <w:rsid w:val="007E1AF2"/>
    <w:rsid w:val="007E3FAC"/>
    <w:rsid w:val="007F4095"/>
    <w:rsid w:val="00803924"/>
    <w:rsid w:val="00803E49"/>
    <w:rsid w:val="00843F41"/>
    <w:rsid w:val="008710B6"/>
    <w:rsid w:val="008718A1"/>
    <w:rsid w:val="00872E56"/>
    <w:rsid w:val="008740CE"/>
    <w:rsid w:val="00890161"/>
    <w:rsid w:val="00891266"/>
    <w:rsid w:val="008A51AA"/>
    <w:rsid w:val="008A6A9B"/>
    <w:rsid w:val="008A6AD1"/>
    <w:rsid w:val="008C53FB"/>
    <w:rsid w:val="008D6B30"/>
    <w:rsid w:val="008E05C9"/>
    <w:rsid w:val="008F5CC1"/>
    <w:rsid w:val="00900041"/>
    <w:rsid w:val="009003D9"/>
    <w:rsid w:val="00915E92"/>
    <w:rsid w:val="00922644"/>
    <w:rsid w:val="00933033"/>
    <w:rsid w:val="0093613A"/>
    <w:rsid w:val="00947DF7"/>
    <w:rsid w:val="00952471"/>
    <w:rsid w:val="00956811"/>
    <w:rsid w:val="009602D7"/>
    <w:rsid w:val="00975591"/>
    <w:rsid w:val="009A1A1A"/>
    <w:rsid w:val="009B61F0"/>
    <w:rsid w:val="009D0F56"/>
    <w:rsid w:val="009D1298"/>
    <w:rsid w:val="009D334A"/>
    <w:rsid w:val="009F4204"/>
    <w:rsid w:val="00A14386"/>
    <w:rsid w:val="00A223B5"/>
    <w:rsid w:val="00A522AF"/>
    <w:rsid w:val="00A55A82"/>
    <w:rsid w:val="00A7562E"/>
    <w:rsid w:val="00A77A0F"/>
    <w:rsid w:val="00AA155E"/>
    <w:rsid w:val="00AA23E4"/>
    <w:rsid w:val="00AD7F75"/>
    <w:rsid w:val="00AF509B"/>
    <w:rsid w:val="00B12696"/>
    <w:rsid w:val="00B14130"/>
    <w:rsid w:val="00B35279"/>
    <w:rsid w:val="00B463F5"/>
    <w:rsid w:val="00B544FB"/>
    <w:rsid w:val="00B554EF"/>
    <w:rsid w:val="00B56D5E"/>
    <w:rsid w:val="00B64652"/>
    <w:rsid w:val="00B76FB7"/>
    <w:rsid w:val="00B80E04"/>
    <w:rsid w:val="00B90A8D"/>
    <w:rsid w:val="00B91277"/>
    <w:rsid w:val="00BC30EA"/>
    <w:rsid w:val="00BC6442"/>
    <w:rsid w:val="00BC6B3C"/>
    <w:rsid w:val="00BC7649"/>
    <w:rsid w:val="00BE5EB4"/>
    <w:rsid w:val="00BF0F9D"/>
    <w:rsid w:val="00BF3A9D"/>
    <w:rsid w:val="00C00AC1"/>
    <w:rsid w:val="00C2243F"/>
    <w:rsid w:val="00C41A18"/>
    <w:rsid w:val="00C5270A"/>
    <w:rsid w:val="00C534DA"/>
    <w:rsid w:val="00C64987"/>
    <w:rsid w:val="00C669F5"/>
    <w:rsid w:val="00C701C0"/>
    <w:rsid w:val="00C83F35"/>
    <w:rsid w:val="00CD0010"/>
    <w:rsid w:val="00CD5DFB"/>
    <w:rsid w:val="00CE0E50"/>
    <w:rsid w:val="00D05EF9"/>
    <w:rsid w:val="00D064A0"/>
    <w:rsid w:val="00D159AD"/>
    <w:rsid w:val="00D2436F"/>
    <w:rsid w:val="00D2586F"/>
    <w:rsid w:val="00D37DBB"/>
    <w:rsid w:val="00D445A2"/>
    <w:rsid w:val="00D62023"/>
    <w:rsid w:val="00D72ED0"/>
    <w:rsid w:val="00D85FD4"/>
    <w:rsid w:val="00D92426"/>
    <w:rsid w:val="00DA02A8"/>
    <w:rsid w:val="00DA51E6"/>
    <w:rsid w:val="00DC5D01"/>
    <w:rsid w:val="00DD5B5D"/>
    <w:rsid w:val="00DF4689"/>
    <w:rsid w:val="00DF6B41"/>
    <w:rsid w:val="00E270D6"/>
    <w:rsid w:val="00E328E7"/>
    <w:rsid w:val="00E41216"/>
    <w:rsid w:val="00E461D3"/>
    <w:rsid w:val="00E60EA4"/>
    <w:rsid w:val="00E870FC"/>
    <w:rsid w:val="00E92956"/>
    <w:rsid w:val="00EB5A0C"/>
    <w:rsid w:val="00EC49E3"/>
    <w:rsid w:val="00EC60DC"/>
    <w:rsid w:val="00EC7ACD"/>
    <w:rsid w:val="00ED2D13"/>
    <w:rsid w:val="00ED338D"/>
    <w:rsid w:val="00ED64DC"/>
    <w:rsid w:val="00EE3DC2"/>
    <w:rsid w:val="00F163D2"/>
    <w:rsid w:val="00F209C5"/>
    <w:rsid w:val="00F33A08"/>
    <w:rsid w:val="00F43112"/>
    <w:rsid w:val="00F46B38"/>
    <w:rsid w:val="00F5785A"/>
    <w:rsid w:val="00F8498F"/>
    <w:rsid w:val="00F94385"/>
    <w:rsid w:val="00F96BA8"/>
    <w:rsid w:val="00FA36B2"/>
    <w:rsid w:val="00FA39D8"/>
    <w:rsid w:val="00FB72DC"/>
    <w:rsid w:val="00FE3020"/>
    <w:rsid w:val="00FE3EE1"/>
    <w:rsid w:val="012D0479"/>
    <w:rsid w:val="072E3526"/>
    <w:rsid w:val="0798183E"/>
    <w:rsid w:val="0AF315D1"/>
    <w:rsid w:val="0E6B25E0"/>
    <w:rsid w:val="18B45F46"/>
    <w:rsid w:val="1A745896"/>
    <w:rsid w:val="1C625023"/>
    <w:rsid w:val="1DCC4F81"/>
    <w:rsid w:val="20BF1817"/>
    <w:rsid w:val="26972C17"/>
    <w:rsid w:val="2A2577E6"/>
    <w:rsid w:val="2B8925CC"/>
    <w:rsid w:val="2D065459"/>
    <w:rsid w:val="314A4871"/>
    <w:rsid w:val="323D71FC"/>
    <w:rsid w:val="33C71097"/>
    <w:rsid w:val="3555351F"/>
    <w:rsid w:val="35EF69F0"/>
    <w:rsid w:val="3692148E"/>
    <w:rsid w:val="37F905FC"/>
    <w:rsid w:val="3B40739F"/>
    <w:rsid w:val="42FE6FA4"/>
    <w:rsid w:val="44E30C0D"/>
    <w:rsid w:val="455E1374"/>
    <w:rsid w:val="46773BE5"/>
    <w:rsid w:val="47084BF4"/>
    <w:rsid w:val="48B70222"/>
    <w:rsid w:val="491433AD"/>
    <w:rsid w:val="4BC30D8B"/>
    <w:rsid w:val="514C35D0"/>
    <w:rsid w:val="52A07725"/>
    <w:rsid w:val="535C1913"/>
    <w:rsid w:val="5CE40FF1"/>
    <w:rsid w:val="647F788B"/>
    <w:rsid w:val="64EF5B97"/>
    <w:rsid w:val="686B65B3"/>
    <w:rsid w:val="691E6CCF"/>
    <w:rsid w:val="6C0933C5"/>
    <w:rsid w:val="6E61220E"/>
    <w:rsid w:val="7248432D"/>
    <w:rsid w:val="7858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rFonts w:ascii="Calibri" w:hAnsi="Calibri"/>
      <w:kern w:val="2"/>
      <w:sz w:val="21"/>
      <w:szCs w:val="22"/>
    </w:rPr>
  </w:style>
  <w:style w:type="paragraph" w:styleId="1">
    <w:name w:val="heading 1"/>
    <w:basedOn w:val="a8"/>
    <w:next w:val="a8"/>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Char"/>
    <w:uiPriority w:val="99"/>
    <w:unhideWhenUsed/>
    <w:qFormat/>
    <w:pPr>
      <w:jc w:val="left"/>
    </w:pPr>
  </w:style>
  <w:style w:type="paragraph" w:styleId="ad">
    <w:name w:val="Date"/>
    <w:basedOn w:val="a8"/>
    <w:next w:val="a8"/>
    <w:link w:val="Char0"/>
    <w:uiPriority w:val="99"/>
    <w:semiHidden/>
    <w:unhideWhenUsed/>
    <w:qFormat/>
    <w:pPr>
      <w:ind w:leftChars="2500" w:left="100"/>
    </w:pPr>
  </w:style>
  <w:style w:type="paragraph" w:styleId="ae">
    <w:name w:val="Balloon Text"/>
    <w:basedOn w:val="a8"/>
    <w:link w:val="Char1"/>
    <w:uiPriority w:val="99"/>
    <w:semiHidden/>
    <w:unhideWhenUsed/>
    <w:qFormat/>
    <w:rPr>
      <w:sz w:val="18"/>
      <w:szCs w:val="18"/>
    </w:rPr>
  </w:style>
  <w:style w:type="paragraph" w:styleId="af">
    <w:name w:val="footer"/>
    <w:basedOn w:val="a8"/>
    <w:link w:val="Char2"/>
    <w:uiPriority w:val="99"/>
    <w:unhideWhenUsed/>
    <w:qFormat/>
    <w:pPr>
      <w:tabs>
        <w:tab w:val="center" w:pos="4153"/>
        <w:tab w:val="right" w:pos="8306"/>
      </w:tabs>
      <w:snapToGrid w:val="0"/>
      <w:jc w:val="left"/>
    </w:pPr>
    <w:rPr>
      <w:sz w:val="18"/>
      <w:szCs w:val="18"/>
    </w:rPr>
  </w:style>
  <w:style w:type="paragraph" w:styleId="af0">
    <w:name w:val="header"/>
    <w:basedOn w:val="a8"/>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8"/>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c"/>
    <w:next w:val="ac"/>
    <w:link w:val="Char4"/>
    <w:uiPriority w:val="99"/>
    <w:semiHidden/>
    <w:unhideWhenUsed/>
    <w:qFormat/>
    <w:rPr>
      <w:b/>
      <w:bCs/>
    </w:rPr>
  </w:style>
  <w:style w:type="character" w:styleId="af3">
    <w:name w:val="Strong"/>
    <w:basedOn w:val="a9"/>
    <w:uiPriority w:val="22"/>
    <w:qFormat/>
    <w:rPr>
      <w:b/>
      <w:bCs/>
    </w:rPr>
  </w:style>
  <w:style w:type="character" w:styleId="af4">
    <w:name w:val="annotation reference"/>
    <w:basedOn w:val="a9"/>
    <w:uiPriority w:val="99"/>
    <w:semiHidden/>
    <w:unhideWhenUsed/>
    <w:qFormat/>
    <w:rPr>
      <w:sz w:val="21"/>
      <w:szCs w:val="21"/>
    </w:rPr>
  </w:style>
  <w:style w:type="character" w:customStyle="1" w:styleId="Char3">
    <w:name w:val="页眉 Char"/>
    <w:basedOn w:val="a9"/>
    <w:link w:val="af0"/>
    <w:uiPriority w:val="99"/>
    <w:qFormat/>
    <w:rPr>
      <w:sz w:val="18"/>
      <w:szCs w:val="18"/>
    </w:rPr>
  </w:style>
  <w:style w:type="character" w:customStyle="1" w:styleId="Char2">
    <w:name w:val="页脚 Char"/>
    <w:basedOn w:val="a9"/>
    <w:link w:val="af"/>
    <w:uiPriority w:val="99"/>
    <w:qFormat/>
    <w:rPr>
      <w:sz w:val="18"/>
      <w:szCs w:val="18"/>
    </w:rPr>
  </w:style>
  <w:style w:type="paragraph" w:styleId="af5">
    <w:name w:val="List Paragraph"/>
    <w:basedOn w:val="a8"/>
    <w:uiPriority w:val="34"/>
    <w:qFormat/>
    <w:pPr>
      <w:ind w:firstLineChars="200" w:firstLine="420"/>
    </w:pPr>
  </w:style>
  <w:style w:type="paragraph" w:customStyle="1" w:styleId="af6">
    <w:name w:val="标准文件_段"/>
    <w:link w:val="Char5"/>
    <w:qFormat/>
    <w:pPr>
      <w:autoSpaceDE w:val="0"/>
      <w:autoSpaceDN w:val="0"/>
      <w:ind w:firstLineChars="200" w:firstLine="200"/>
      <w:jc w:val="both"/>
    </w:pPr>
    <w:rPr>
      <w:rFonts w:ascii="宋体"/>
      <w:sz w:val="21"/>
    </w:rPr>
  </w:style>
  <w:style w:type="character" w:customStyle="1" w:styleId="Char5">
    <w:name w:val="标准文件_段 Char"/>
    <w:link w:val="af6"/>
    <w:qFormat/>
    <w:rPr>
      <w:rFonts w:ascii="宋体" w:eastAsia="宋体" w:hAnsi="Times New Roman" w:cs="Times New Roman"/>
      <w:kern w:val="0"/>
      <w:szCs w:val="20"/>
    </w:rPr>
  </w:style>
  <w:style w:type="paragraph" w:customStyle="1" w:styleId="a">
    <w:name w:val="一级无"/>
    <w:basedOn w:val="a8"/>
    <w:qFormat/>
    <w:pPr>
      <w:widowControl/>
      <w:numPr>
        <w:numId w:val="1"/>
      </w:numPr>
      <w:jc w:val="left"/>
      <w:outlineLvl w:val="2"/>
    </w:pPr>
    <w:rPr>
      <w:rFonts w:ascii="宋体" w:hAnsi="黑体" w:cstheme="minorBidi"/>
      <w:kern w:val="0"/>
      <w:szCs w:val="21"/>
    </w:rPr>
  </w:style>
  <w:style w:type="paragraph" w:customStyle="1" w:styleId="a0">
    <w:name w:val="标准文件_术语条一"/>
    <w:basedOn w:val="a8"/>
    <w:next w:val="af6"/>
    <w:qFormat/>
    <w:pPr>
      <w:widowControl/>
      <w:numPr>
        <w:ilvl w:val="2"/>
        <w:numId w:val="1"/>
      </w:numPr>
    </w:pPr>
    <w:rPr>
      <w:rFonts w:ascii="宋体" w:hAnsi="Times New Roman"/>
      <w:kern w:val="0"/>
      <w:szCs w:val="20"/>
    </w:rPr>
  </w:style>
  <w:style w:type="paragraph" w:customStyle="1" w:styleId="a4">
    <w:name w:val="标准文件_二级条标题"/>
    <w:next w:val="af6"/>
    <w:qFormat/>
    <w:pPr>
      <w:widowControl w:val="0"/>
      <w:numPr>
        <w:ilvl w:val="3"/>
        <w:numId w:val="2"/>
      </w:numPr>
      <w:spacing w:beforeLines="50" w:afterLines="50"/>
      <w:jc w:val="both"/>
      <w:outlineLvl w:val="2"/>
    </w:pPr>
    <w:rPr>
      <w:rFonts w:ascii="黑体" w:eastAsia="黑体"/>
      <w:sz w:val="21"/>
    </w:rPr>
  </w:style>
  <w:style w:type="paragraph" w:customStyle="1" w:styleId="a5">
    <w:name w:val="标准文件_三级条标题"/>
    <w:basedOn w:val="a4"/>
    <w:next w:val="af6"/>
    <w:qFormat/>
    <w:pPr>
      <w:widowControl/>
      <w:numPr>
        <w:ilvl w:val="4"/>
      </w:numPr>
      <w:outlineLvl w:val="3"/>
    </w:pPr>
  </w:style>
  <w:style w:type="paragraph" w:customStyle="1" w:styleId="a6">
    <w:name w:val="标准文件_四级条标题"/>
    <w:next w:val="af6"/>
    <w:qFormat/>
    <w:pPr>
      <w:widowControl w:val="0"/>
      <w:numPr>
        <w:ilvl w:val="5"/>
        <w:numId w:val="2"/>
      </w:numPr>
      <w:spacing w:beforeLines="50" w:afterLines="50"/>
      <w:jc w:val="both"/>
      <w:outlineLvl w:val="4"/>
    </w:pPr>
    <w:rPr>
      <w:rFonts w:ascii="黑体" w:eastAsia="黑体"/>
      <w:sz w:val="21"/>
    </w:rPr>
  </w:style>
  <w:style w:type="paragraph" w:customStyle="1" w:styleId="a7">
    <w:name w:val="标准文件_五级条标题"/>
    <w:next w:val="af6"/>
    <w:qFormat/>
    <w:pPr>
      <w:widowControl w:val="0"/>
      <w:numPr>
        <w:ilvl w:val="6"/>
        <w:numId w:val="2"/>
      </w:numPr>
      <w:spacing w:beforeLines="50" w:afterLines="50"/>
      <w:jc w:val="both"/>
      <w:outlineLvl w:val="5"/>
    </w:pPr>
    <w:rPr>
      <w:rFonts w:ascii="黑体" w:eastAsia="黑体"/>
      <w:sz w:val="21"/>
    </w:rPr>
  </w:style>
  <w:style w:type="paragraph" w:customStyle="1" w:styleId="a2">
    <w:name w:val="标准文件_章标题"/>
    <w:next w:val="af6"/>
    <w:qFormat/>
    <w:pPr>
      <w:numPr>
        <w:ilvl w:val="1"/>
        <w:numId w:val="2"/>
      </w:numPr>
      <w:spacing w:beforeLines="100" w:afterLines="100"/>
      <w:jc w:val="both"/>
      <w:outlineLvl w:val="0"/>
    </w:pPr>
    <w:rPr>
      <w:rFonts w:ascii="黑体" w:eastAsia="黑体"/>
      <w:sz w:val="21"/>
    </w:rPr>
  </w:style>
  <w:style w:type="paragraph" w:customStyle="1" w:styleId="a3">
    <w:name w:val="标准文件_一级条标题"/>
    <w:basedOn w:val="a2"/>
    <w:next w:val="af6"/>
    <w:qFormat/>
    <w:pPr>
      <w:numPr>
        <w:ilvl w:val="2"/>
      </w:numPr>
      <w:spacing w:beforeLines="50" w:afterLines="50"/>
      <w:outlineLvl w:val="1"/>
    </w:pPr>
  </w:style>
  <w:style w:type="paragraph" w:customStyle="1" w:styleId="a1">
    <w:name w:val="前言标题"/>
    <w:next w:val="a8"/>
    <w:qFormat/>
    <w:pPr>
      <w:numPr>
        <w:numId w:val="2"/>
      </w:numPr>
      <w:shd w:val="clear" w:color="FFFFFF" w:fill="FFFFFF"/>
      <w:spacing w:before="540" w:after="600"/>
      <w:jc w:val="center"/>
      <w:outlineLvl w:val="0"/>
    </w:pPr>
    <w:rPr>
      <w:rFonts w:ascii="黑体" w:eastAsia="黑体"/>
      <w:sz w:val="32"/>
    </w:rPr>
  </w:style>
  <w:style w:type="paragraph" w:customStyle="1" w:styleId="af7">
    <w:name w:val="章标题"/>
    <w:next w:val="a8"/>
    <w:qFormat/>
    <w:pPr>
      <w:spacing w:beforeLines="100" w:afterLines="100"/>
      <w:jc w:val="both"/>
      <w:outlineLvl w:val="1"/>
    </w:pPr>
    <w:rPr>
      <w:rFonts w:ascii="黑体" w:eastAsia="黑体" w:hAnsiTheme="minorHAnsi" w:cstheme="minorBidi"/>
      <w:sz w:val="21"/>
      <w:szCs w:val="22"/>
    </w:rPr>
  </w:style>
  <w:style w:type="character" w:customStyle="1" w:styleId="Char0">
    <w:name w:val="日期 Char"/>
    <w:basedOn w:val="a9"/>
    <w:link w:val="ad"/>
    <w:uiPriority w:val="99"/>
    <w:semiHidden/>
    <w:qFormat/>
    <w:rPr>
      <w:rFonts w:ascii="Calibri" w:hAnsi="Calibri"/>
      <w:kern w:val="2"/>
      <w:sz w:val="21"/>
      <w:szCs w:val="22"/>
    </w:rPr>
  </w:style>
  <w:style w:type="character" w:customStyle="1" w:styleId="Char">
    <w:name w:val="批注文字 Char"/>
    <w:basedOn w:val="a9"/>
    <w:link w:val="ac"/>
    <w:uiPriority w:val="99"/>
    <w:qFormat/>
    <w:rPr>
      <w:rFonts w:ascii="Calibri" w:hAnsi="Calibri"/>
      <w:kern w:val="2"/>
      <w:sz w:val="21"/>
      <w:szCs w:val="22"/>
    </w:rPr>
  </w:style>
  <w:style w:type="character" w:customStyle="1" w:styleId="Char4">
    <w:name w:val="批注主题 Char"/>
    <w:basedOn w:val="Char"/>
    <w:link w:val="af2"/>
    <w:uiPriority w:val="99"/>
    <w:semiHidden/>
    <w:qFormat/>
    <w:rPr>
      <w:rFonts w:ascii="Calibri" w:hAnsi="Calibri"/>
      <w:b/>
      <w:bCs/>
      <w:kern w:val="2"/>
      <w:sz w:val="21"/>
      <w:szCs w:val="22"/>
    </w:rPr>
  </w:style>
  <w:style w:type="character" w:customStyle="1" w:styleId="Char1">
    <w:name w:val="批注框文本 Char"/>
    <w:basedOn w:val="a9"/>
    <w:link w:val="ae"/>
    <w:uiPriority w:val="99"/>
    <w:semiHidden/>
    <w:qFormat/>
    <w:rPr>
      <w:rFonts w:ascii="Calibri" w:hAnsi="Calibri"/>
      <w:kern w:val="2"/>
      <w:sz w:val="18"/>
      <w:szCs w:val="18"/>
    </w:rPr>
  </w:style>
  <w:style w:type="character" w:customStyle="1" w:styleId="1Char">
    <w:name w:val="标题 1 Char"/>
    <w:basedOn w:val="a9"/>
    <w:link w:val="1"/>
    <w:uiPriority w:val="9"/>
    <w:qFormat/>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jc w:val="both"/>
    </w:pPr>
    <w:rPr>
      <w:rFonts w:ascii="Calibri" w:hAnsi="Calibri"/>
      <w:kern w:val="2"/>
      <w:sz w:val="21"/>
      <w:szCs w:val="22"/>
    </w:rPr>
  </w:style>
  <w:style w:type="paragraph" w:styleId="1">
    <w:name w:val="heading 1"/>
    <w:basedOn w:val="a8"/>
    <w:next w:val="a8"/>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Char"/>
    <w:uiPriority w:val="99"/>
    <w:unhideWhenUsed/>
    <w:qFormat/>
    <w:pPr>
      <w:jc w:val="left"/>
    </w:pPr>
  </w:style>
  <w:style w:type="paragraph" w:styleId="ad">
    <w:name w:val="Date"/>
    <w:basedOn w:val="a8"/>
    <w:next w:val="a8"/>
    <w:link w:val="Char0"/>
    <w:uiPriority w:val="99"/>
    <w:semiHidden/>
    <w:unhideWhenUsed/>
    <w:qFormat/>
    <w:pPr>
      <w:ind w:leftChars="2500" w:left="100"/>
    </w:pPr>
  </w:style>
  <w:style w:type="paragraph" w:styleId="ae">
    <w:name w:val="Balloon Text"/>
    <w:basedOn w:val="a8"/>
    <w:link w:val="Char1"/>
    <w:uiPriority w:val="99"/>
    <w:semiHidden/>
    <w:unhideWhenUsed/>
    <w:qFormat/>
    <w:rPr>
      <w:sz w:val="18"/>
      <w:szCs w:val="18"/>
    </w:rPr>
  </w:style>
  <w:style w:type="paragraph" w:styleId="af">
    <w:name w:val="footer"/>
    <w:basedOn w:val="a8"/>
    <w:link w:val="Char2"/>
    <w:uiPriority w:val="99"/>
    <w:unhideWhenUsed/>
    <w:qFormat/>
    <w:pPr>
      <w:tabs>
        <w:tab w:val="center" w:pos="4153"/>
        <w:tab w:val="right" w:pos="8306"/>
      </w:tabs>
      <w:snapToGrid w:val="0"/>
      <w:jc w:val="left"/>
    </w:pPr>
    <w:rPr>
      <w:sz w:val="18"/>
      <w:szCs w:val="18"/>
    </w:rPr>
  </w:style>
  <w:style w:type="paragraph" w:styleId="af0">
    <w:name w:val="header"/>
    <w:basedOn w:val="a8"/>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8"/>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c"/>
    <w:next w:val="ac"/>
    <w:link w:val="Char4"/>
    <w:uiPriority w:val="99"/>
    <w:semiHidden/>
    <w:unhideWhenUsed/>
    <w:qFormat/>
    <w:rPr>
      <w:b/>
      <w:bCs/>
    </w:rPr>
  </w:style>
  <w:style w:type="character" w:styleId="af3">
    <w:name w:val="Strong"/>
    <w:basedOn w:val="a9"/>
    <w:uiPriority w:val="22"/>
    <w:qFormat/>
    <w:rPr>
      <w:b/>
      <w:bCs/>
    </w:rPr>
  </w:style>
  <w:style w:type="character" w:styleId="af4">
    <w:name w:val="annotation reference"/>
    <w:basedOn w:val="a9"/>
    <w:uiPriority w:val="99"/>
    <w:semiHidden/>
    <w:unhideWhenUsed/>
    <w:qFormat/>
    <w:rPr>
      <w:sz w:val="21"/>
      <w:szCs w:val="21"/>
    </w:rPr>
  </w:style>
  <w:style w:type="character" w:customStyle="1" w:styleId="Char3">
    <w:name w:val="页眉 Char"/>
    <w:basedOn w:val="a9"/>
    <w:link w:val="af0"/>
    <w:uiPriority w:val="99"/>
    <w:qFormat/>
    <w:rPr>
      <w:sz w:val="18"/>
      <w:szCs w:val="18"/>
    </w:rPr>
  </w:style>
  <w:style w:type="character" w:customStyle="1" w:styleId="Char2">
    <w:name w:val="页脚 Char"/>
    <w:basedOn w:val="a9"/>
    <w:link w:val="af"/>
    <w:uiPriority w:val="99"/>
    <w:qFormat/>
    <w:rPr>
      <w:sz w:val="18"/>
      <w:szCs w:val="18"/>
    </w:rPr>
  </w:style>
  <w:style w:type="paragraph" w:styleId="af5">
    <w:name w:val="List Paragraph"/>
    <w:basedOn w:val="a8"/>
    <w:uiPriority w:val="34"/>
    <w:qFormat/>
    <w:pPr>
      <w:ind w:firstLineChars="200" w:firstLine="420"/>
    </w:pPr>
  </w:style>
  <w:style w:type="paragraph" w:customStyle="1" w:styleId="af6">
    <w:name w:val="标准文件_段"/>
    <w:link w:val="Char5"/>
    <w:qFormat/>
    <w:pPr>
      <w:autoSpaceDE w:val="0"/>
      <w:autoSpaceDN w:val="0"/>
      <w:ind w:firstLineChars="200" w:firstLine="200"/>
      <w:jc w:val="both"/>
    </w:pPr>
    <w:rPr>
      <w:rFonts w:ascii="宋体"/>
      <w:sz w:val="21"/>
    </w:rPr>
  </w:style>
  <w:style w:type="character" w:customStyle="1" w:styleId="Char5">
    <w:name w:val="标准文件_段 Char"/>
    <w:link w:val="af6"/>
    <w:qFormat/>
    <w:rPr>
      <w:rFonts w:ascii="宋体" w:eastAsia="宋体" w:hAnsi="Times New Roman" w:cs="Times New Roman"/>
      <w:kern w:val="0"/>
      <w:szCs w:val="20"/>
    </w:rPr>
  </w:style>
  <w:style w:type="paragraph" w:customStyle="1" w:styleId="a">
    <w:name w:val="一级无"/>
    <w:basedOn w:val="a8"/>
    <w:qFormat/>
    <w:pPr>
      <w:widowControl/>
      <w:numPr>
        <w:numId w:val="1"/>
      </w:numPr>
      <w:jc w:val="left"/>
      <w:outlineLvl w:val="2"/>
    </w:pPr>
    <w:rPr>
      <w:rFonts w:ascii="宋体" w:hAnsi="黑体" w:cstheme="minorBidi"/>
      <w:kern w:val="0"/>
      <w:szCs w:val="21"/>
    </w:rPr>
  </w:style>
  <w:style w:type="paragraph" w:customStyle="1" w:styleId="a0">
    <w:name w:val="标准文件_术语条一"/>
    <w:basedOn w:val="a8"/>
    <w:next w:val="af6"/>
    <w:qFormat/>
    <w:pPr>
      <w:widowControl/>
      <w:numPr>
        <w:ilvl w:val="2"/>
        <w:numId w:val="1"/>
      </w:numPr>
    </w:pPr>
    <w:rPr>
      <w:rFonts w:ascii="宋体" w:hAnsi="Times New Roman"/>
      <w:kern w:val="0"/>
      <w:szCs w:val="20"/>
    </w:rPr>
  </w:style>
  <w:style w:type="paragraph" w:customStyle="1" w:styleId="a4">
    <w:name w:val="标准文件_二级条标题"/>
    <w:next w:val="af6"/>
    <w:qFormat/>
    <w:pPr>
      <w:widowControl w:val="0"/>
      <w:numPr>
        <w:ilvl w:val="3"/>
        <w:numId w:val="2"/>
      </w:numPr>
      <w:spacing w:beforeLines="50" w:afterLines="50"/>
      <w:jc w:val="both"/>
      <w:outlineLvl w:val="2"/>
    </w:pPr>
    <w:rPr>
      <w:rFonts w:ascii="黑体" w:eastAsia="黑体"/>
      <w:sz w:val="21"/>
    </w:rPr>
  </w:style>
  <w:style w:type="paragraph" w:customStyle="1" w:styleId="a5">
    <w:name w:val="标准文件_三级条标题"/>
    <w:basedOn w:val="a4"/>
    <w:next w:val="af6"/>
    <w:qFormat/>
    <w:pPr>
      <w:widowControl/>
      <w:numPr>
        <w:ilvl w:val="4"/>
      </w:numPr>
      <w:outlineLvl w:val="3"/>
    </w:pPr>
  </w:style>
  <w:style w:type="paragraph" w:customStyle="1" w:styleId="a6">
    <w:name w:val="标准文件_四级条标题"/>
    <w:next w:val="af6"/>
    <w:qFormat/>
    <w:pPr>
      <w:widowControl w:val="0"/>
      <w:numPr>
        <w:ilvl w:val="5"/>
        <w:numId w:val="2"/>
      </w:numPr>
      <w:spacing w:beforeLines="50" w:afterLines="50"/>
      <w:jc w:val="both"/>
      <w:outlineLvl w:val="4"/>
    </w:pPr>
    <w:rPr>
      <w:rFonts w:ascii="黑体" w:eastAsia="黑体"/>
      <w:sz w:val="21"/>
    </w:rPr>
  </w:style>
  <w:style w:type="paragraph" w:customStyle="1" w:styleId="a7">
    <w:name w:val="标准文件_五级条标题"/>
    <w:next w:val="af6"/>
    <w:qFormat/>
    <w:pPr>
      <w:widowControl w:val="0"/>
      <w:numPr>
        <w:ilvl w:val="6"/>
        <w:numId w:val="2"/>
      </w:numPr>
      <w:spacing w:beforeLines="50" w:afterLines="50"/>
      <w:jc w:val="both"/>
      <w:outlineLvl w:val="5"/>
    </w:pPr>
    <w:rPr>
      <w:rFonts w:ascii="黑体" w:eastAsia="黑体"/>
      <w:sz w:val="21"/>
    </w:rPr>
  </w:style>
  <w:style w:type="paragraph" w:customStyle="1" w:styleId="a2">
    <w:name w:val="标准文件_章标题"/>
    <w:next w:val="af6"/>
    <w:qFormat/>
    <w:pPr>
      <w:numPr>
        <w:ilvl w:val="1"/>
        <w:numId w:val="2"/>
      </w:numPr>
      <w:spacing w:beforeLines="100" w:afterLines="100"/>
      <w:jc w:val="both"/>
      <w:outlineLvl w:val="0"/>
    </w:pPr>
    <w:rPr>
      <w:rFonts w:ascii="黑体" w:eastAsia="黑体"/>
      <w:sz w:val="21"/>
    </w:rPr>
  </w:style>
  <w:style w:type="paragraph" w:customStyle="1" w:styleId="a3">
    <w:name w:val="标准文件_一级条标题"/>
    <w:basedOn w:val="a2"/>
    <w:next w:val="af6"/>
    <w:qFormat/>
    <w:pPr>
      <w:numPr>
        <w:ilvl w:val="2"/>
      </w:numPr>
      <w:spacing w:beforeLines="50" w:afterLines="50"/>
      <w:outlineLvl w:val="1"/>
    </w:pPr>
  </w:style>
  <w:style w:type="paragraph" w:customStyle="1" w:styleId="a1">
    <w:name w:val="前言标题"/>
    <w:next w:val="a8"/>
    <w:qFormat/>
    <w:pPr>
      <w:numPr>
        <w:numId w:val="2"/>
      </w:numPr>
      <w:shd w:val="clear" w:color="FFFFFF" w:fill="FFFFFF"/>
      <w:spacing w:before="540" w:after="600"/>
      <w:jc w:val="center"/>
      <w:outlineLvl w:val="0"/>
    </w:pPr>
    <w:rPr>
      <w:rFonts w:ascii="黑体" w:eastAsia="黑体"/>
      <w:sz w:val="32"/>
    </w:rPr>
  </w:style>
  <w:style w:type="paragraph" w:customStyle="1" w:styleId="af7">
    <w:name w:val="章标题"/>
    <w:next w:val="a8"/>
    <w:qFormat/>
    <w:pPr>
      <w:spacing w:beforeLines="100" w:afterLines="100"/>
      <w:jc w:val="both"/>
      <w:outlineLvl w:val="1"/>
    </w:pPr>
    <w:rPr>
      <w:rFonts w:ascii="黑体" w:eastAsia="黑体" w:hAnsiTheme="minorHAnsi" w:cstheme="minorBidi"/>
      <w:sz w:val="21"/>
      <w:szCs w:val="22"/>
    </w:rPr>
  </w:style>
  <w:style w:type="character" w:customStyle="1" w:styleId="Char0">
    <w:name w:val="日期 Char"/>
    <w:basedOn w:val="a9"/>
    <w:link w:val="ad"/>
    <w:uiPriority w:val="99"/>
    <w:semiHidden/>
    <w:qFormat/>
    <w:rPr>
      <w:rFonts w:ascii="Calibri" w:hAnsi="Calibri"/>
      <w:kern w:val="2"/>
      <w:sz w:val="21"/>
      <w:szCs w:val="22"/>
    </w:rPr>
  </w:style>
  <w:style w:type="character" w:customStyle="1" w:styleId="Char">
    <w:name w:val="批注文字 Char"/>
    <w:basedOn w:val="a9"/>
    <w:link w:val="ac"/>
    <w:uiPriority w:val="99"/>
    <w:qFormat/>
    <w:rPr>
      <w:rFonts w:ascii="Calibri" w:hAnsi="Calibri"/>
      <w:kern w:val="2"/>
      <w:sz w:val="21"/>
      <w:szCs w:val="22"/>
    </w:rPr>
  </w:style>
  <w:style w:type="character" w:customStyle="1" w:styleId="Char4">
    <w:name w:val="批注主题 Char"/>
    <w:basedOn w:val="Char"/>
    <w:link w:val="af2"/>
    <w:uiPriority w:val="99"/>
    <w:semiHidden/>
    <w:qFormat/>
    <w:rPr>
      <w:rFonts w:ascii="Calibri" w:hAnsi="Calibri"/>
      <w:b/>
      <w:bCs/>
      <w:kern w:val="2"/>
      <w:sz w:val="21"/>
      <w:szCs w:val="22"/>
    </w:rPr>
  </w:style>
  <w:style w:type="character" w:customStyle="1" w:styleId="Char1">
    <w:name w:val="批注框文本 Char"/>
    <w:basedOn w:val="a9"/>
    <w:link w:val="ae"/>
    <w:uiPriority w:val="99"/>
    <w:semiHidden/>
    <w:qFormat/>
    <w:rPr>
      <w:rFonts w:ascii="Calibri" w:hAnsi="Calibri"/>
      <w:kern w:val="2"/>
      <w:sz w:val="18"/>
      <w:szCs w:val="18"/>
    </w:rPr>
  </w:style>
  <w:style w:type="character" w:customStyle="1" w:styleId="1Char">
    <w:name w:val="标题 1 Char"/>
    <w:basedOn w:val="a9"/>
    <w:link w:val="1"/>
    <w:uiPriority w:val="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3086">
      <w:bodyDiv w:val="1"/>
      <w:marLeft w:val="0"/>
      <w:marRight w:val="0"/>
      <w:marTop w:val="0"/>
      <w:marBottom w:val="0"/>
      <w:divBdr>
        <w:top w:val="none" w:sz="0" w:space="0" w:color="auto"/>
        <w:left w:val="none" w:sz="0" w:space="0" w:color="auto"/>
        <w:bottom w:val="none" w:sz="0" w:space="0" w:color="auto"/>
        <w:right w:val="none" w:sz="0" w:space="0" w:color="auto"/>
      </w:divBdr>
      <w:divsChild>
        <w:div w:id="5794891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19.239.107.155:8080/TaskBook.aspx?id=QBCPXT0791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A726E-620C-4F05-809D-2A35ADB0A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826</Words>
  <Characters>4713</Characters>
  <Application>Microsoft Office Word</Application>
  <DocSecurity>0</DocSecurity>
  <Lines>39</Lines>
  <Paragraphs>11</Paragraphs>
  <ScaleCrop>false</ScaleCrop>
  <Company>china</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somebody</dc:creator>
  <cp:lastModifiedBy>QQ</cp:lastModifiedBy>
  <cp:revision>2</cp:revision>
  <dcterms:created xsi:type="dcterms:W3CDTF">2023-03-15T06:44:00Z</dcterms:created>
  <dcterms:modified xsi:type="dcterms:W3CDTF">2023-03-15T06:44:00Z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D86D890DFBC148CAB4DC34865BEF787E</vt:lpwstr>
  </property>
  <property fmtid="{D5CDD505-2E9C-101B-9397-08002B2CF9AE}" pid="4" name="commondata">
    <vt:lpwstr>eyJoZGlkIjoiNTMyMjRhYzAwNTViMGI4Mjk5NzgyY2VjZjA4YmJmYjkifQ==</vt:lpwstr>
  </property>
</Properties>
</file>